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spacing w:after="156" w:afterLines="50"/>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982595" cy="508635"/>
            <wp:effectExtent l="0" t="0" r="8255" b="5715"/>
            <wp:docPr id="4" name="图片 4"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字-蓝色"/>
                    <pic:cNvPicPr>
                      <a:picLocks noChangeAspect="1"/>
                    </pic:cNvPicPr>
                  </pic:nvPicPr>
                  <pic:blipFill>
                    <a:blip r:embed="rId6"/>
                    <a:srcRect l="6192" t="14621" r="5248" b="13995"/>
                    <a:stretch>
                      <a:fillRect/>
                    </a:stretch>
                  </pic:blipFill>
                  <pic:spPr>
                    <a:xfrm>
                      <a:off x="0" y="0"/>
                      <a:ext cx="3019855" cy="515058"/>
                    </a:xfrm>
                    <a:prstGeom prst="rect">
                      <a:avLst/>
                    </a:prstGeom>
                  </pic:spPr>
                </pic:pic>
              </a:graphicData>
            </a:graphic>
          </wp:inline>
        </w:drawing>
      </w:r>
    </w:p>
    <w:p>
      <w:pPr>
        <w:jc w:val="center"/>
        <w:rPr>
          <w:rFonts w:ascii="黑体" w:eastAsia="黑体"/>
          <w:b/>
          <w:bCs/>
          <w:color w:val="0070C0"/>
          <w:w w:val="80"/>
          <w:sz w:val="30"/>
          <w:szCs w:val="30"/>
        </w:rPr>
      </w:pPr>
      <w:r>
        <w:rPr>
          <w:rFonts w:hint="eastAsia" w:ascii="黑体" w:eastAsia="黑体"/>
          <w:b/>
          <w:bCs/>
          <w:color w:val="0070C0"/>
          <w:w w:val="75"/>
          <w:sz w:val="30"/>
          <w:szCs w:val="30"/>
        </w:rPr>
        <w:t>“职”等你来！2023年大中城市联合招聘高校毕业生专场活动</w:t>
      </w:r>
      <w:r>
        <w:rPr>
          <w:rFonts w:hint="eastAsia" w:ascii="黑体" w:eastAsia="黑体"/>
          <w:b/>
          <w:bCs/>
          <w:color w:val="0070C0"/>
          <w:w w:val="80"/>
          <w:sz w:val="28"/>
          <w:szCs w:val="28"/>
        </w:rPr>
        <w:t>暨电气与信息工程学院2024届毕业生冬季专场招聘会</w:t>
      </w:r>
    </w:p>
    <w:p>
      <w:pPr>
        <w:jc w:val="center"/>
        <w:rPr>
          <w:rFonts w:ascii="黑体" w:eastAsia="黑体"/>
          <w:color w:val="0070C0"/>
          <w:sz w:val="44"/>
          <w:szCs w:val="44"/>
        </w:rPr>
      </w:pPr>
    </w:p>
    <w:p>
      <w:pPr>
        <w:jc w:val="center"/>
        <w:rPr>
          <w:rFonts w:ascii="黑体" w:hAnsi="黑体" w:eastAsia="黑体"/>
          <w:color w:val="C00000"/>
          <w:w w:val="150"/>
          <w:sz w:val="72"/>
          <w:szCs w:val="86"/>
        </w:rPr>
      </w:pPr>
      <w:r>
        <w:rPr>
          <w:rFonts w:hint="eastAsia" w:ascii="黑体" w:hAnsi="黑体" w:eastAsia="黑体" w:cs="微软雅黑"/>
          <w:b/>
          <w:bCs/>
          <w:color w:val="C00000"/>
          <w:w w:val="150"/>
          <w:sz w:val="72"/>
          <w:szCs w:val="86"/>
        </w:rPr>
        <w:t>会</w:t>
      </w:r>
      <w:r>
        <w:rPr>
          <w:rFonts w:hint="eastAsia" w:ascii="黑体" w:hAnsi="黑体" w:eastAsia="黑体" w:cs="微软雅黑"/>
          <w:b/>
          <w:bCs/>
          <w:color w:val="C00000"/>
          <w:w w:val="150"/>
          <w:szCs w:val="21"/>
        </w:rPr>
        <w:t xml:space="preserve"> </w:t>
      </w:r>
      <w:r>
        <w:rPr>
          <w:rFonts w:hint="eastAsia" w:ascii="黑体" w:hAnsi="黑体" w:eastAsia="黑体" w:cs="微软雅黑"/>
          <w:b/>
          <w:bCs/>
          <w:color w:val="C00000"/>
          <w:w w:val="150"/>
          <w:sz w:val="72"/>
          <w:szCs w:val="86"/>
        </w:rPr>
        <w:t>务</w:t>
      </w:r>
      <w:r>
        <w:rPr>
          <w:rFonts w:hint="eastAsia" w:ascii="黑体" w:hAnsi="黑体" w:eastAsia="黑体" w:cs="微软雅黑"/>
          <w:b/>
          <w:bCs/>
          <w:color w:val="C00000"/>
          <w:w w:val="150"/>
          <w:szCs w:val="21"/>
        </w:rPr>
        <w:t xml:space="preserve"> </w:t>
      </w:r>
      <w:r>
        <w:rPr>
          <w:rFonts w:hint="eastAsia" w:ascii="黑体" w:hAnsi="黑体" w:eastAsia="黑体" w:cs="微软雅黑"/>
          <w:b/>
          <w:bCs/>
          <w:color w:val="C00000"/>
          <w:w w:val="150"/>
          <w:sz w:val="72"/>
          <w:szCs w:val="86"/>
        </w:rPr>
        <w:t>指</w:t>
      </w:r>
      <w:r>
        <w:rPr>
          <w:rFonts w:hint="eastAsia" w:ascii="黑体" w:hAnsi="黑体" w:eastAsia="黑体" w:cs="微软雅黑"/>
          <w:b/>
          <w:bCs/>
          <w:color w:val="C00000"/>
          <w:w w:val="150"/>
          <w:szCs w:val="21"/>
        </w:rPr>
        <w:t xml:space="preserve"> </w:t>
      </w:r>
      <w:r>
        <w:rPr>
          <w:rFonts w:hint="eastAsia" w:ascii="黑体" w:hAnsi="黑体" w:eastAsia="黑体" w:cs="微软雅黑"/>
          <w:b/>
          <w:bCs/>
          <w:color w:val="C00000"/>
          <w:w w:val="150"/>
          <w:sz w:val="72"/>
          <w:szCs w:val="86"/>
        </w:rPr>
        <w:t>南</w:t>
      </w:r>
    </w:p>
    <w:p>
      <w:pPr>
        <w:jc w:val="center"/>
      </w:pPr>
    </w:p>
    <w:p>
      <w:pPr>
        <w:jc w:val="center"/>
      </w:pPr>
    </w:p>
    <w:p>
      <w:pPr>
        <w:jc w:val="center"/>
      </w:pPr>
      <w:r>
        <w:drawing>
          <wp:inline distT="0" distB="0" distL="0" distR="0">
            <wp:extent cx="3838575" cy="1438275"/>
            <wp:effectExtent l="0" t="0" r="9525" b="0"/>
            <wp:docPr id="3" name="图片 3" descr="F:\办公室资料汇总\190.学院照(图)片资料汇总\学院广场全景图（谢小荣）.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办公室资料汇总\190.学院照(图)片资料汇总\学院广场全景图（谢小荣）.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52545" cy="1443390"/>
                    </a:xfrm>
                    <a:prstGeom prst="rect">
                      <a:avLst/>
                    </a:prstGeom>
                    <a:noFill/>
                    <a:ln>
                      <a:noFill/>
                    </a:ln>
                  </pic:spPr>
                </pic:pic>
              </a:graphicData>
            </a:graphic>
          </wp:inline>
        </w:drawing>
      </w:r>
    </w:p>
    <w:p>
      <w:pPr>
        <w:jc w:val="center"/>
      </w:pPr>
    </w:p>
    <w:p>
      <w:pPr>
        <w:jc w:val="center"/>
      </w:pPr>
    </w:p>
    <w:p>
      <w:pPr>
        <w:jc w:val="center"/>
      </w:pPr>
    </w:p>
    <w:p>
      <w:pPr>
        <w:jc w:val="center"/>
        <w:rPr>
          <w:rFonts w:ascii="黑体" w:eastAsia="黑体"/>
          <w:color w:val="0070C0"/>
          <w:sz w:val="32"/>
          <w:szCs w:val="32"/>
        </w:rPr>
      </w:pPr>
      <w:r>
        <w:rPr>
          <w:rFonts w:hint="eastAsia" w:ascii="黑体" w:eastAsia="黑体"/>
          <w:color w:val="0070C0"/>
          <w:sz w:val="32"/>
          <w:szCs w:val="32"/>
        </w:rPr>
        <w:t>2023年11月25日</w:t>
      </w:r>
    </w:p>
    <w:p>
      <w:pPr>
        <w:widowControl/>
        <w:spacing w:line="390" w:lineRule="atLeast"/>
        <w:jc w:val="center"/>
        <w:rPr>
          <w:rFonts w:ascii="����" w:hAnsi="����" w:eastAsia="����" w:cs="����"/>
          <w:color w:val="FE5A03"/>
          <w:sz w:val="24"/>
          <w:shd w:val="clear" w:color="auto" w:fill="FFFFFF"/>
        </w:rPr>
        <w:sectPr>
          <w:pgSz w:w="8392" w:h="11907"/>
          <w:pgMar w:top="1134" w:right="1021" w:bottom="1134" w:left="1304" w:header="851" w:footer="992" w:gutter="0"/>
          <w:cols w:space="425" w:num="1"/>
          <w:docGrid w:type="lines" w:linePitch="312" w:charSpace="0"/>
        </w:sectPr>
      </w:pPr>
    </w:p>
    <w:p>
      <w:pPr>
        <w:widowControl/>
        <w:spacing w:line="390" w:lineRule="atLeast"/>
        <w:jc w:val="center"/>
        <w:rPr>
          <w:rFonts w:ascii="黑体" w:hAnsi="黑体" w:eastAsia="黑体" w:cs="黑体"/>
          <w:b/>
          <w:bCs/>
          <w:sz w:val="32"/>
          <w:szCs w:val="22"/>
          <w:shd w:val="clear" w:color="auto" w:fill="FFFFFF"/>
        </w:rP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616835" cy="445770"/>
            <wp:effectExtent l="0" t="0" r="0" b="0"/>
            <wp:docPr id="53" name="图片 53"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logo-字-蓝色"/>
                    <pic:cNvPicPr>
                      <a:picLocks noChangeAspect="1"/>
                    </pic:cNvPicPr>
                  </pic:nvPicPr>
                  <pic:blipFill>
                    <a:blip r:embed="rId6"/>
                    <a:srcRect l="6192" t="14621" r="5248" b="13995"/>
                    <a:stretch>
                      <a:fillRect/>
                    </a:stretch>
                  </pic:blipFill>
                  <pic:spPr>
                    <a:xfrm>
                      <a:off x="0" y="0"/>
                      <a:ext cx="2670005" cy="455389"/>
                    </a:xfrm>
                    <a:prstGeom prst="rect">
                      <a:avLst/>
                    </a:prstGeom>
                  </pic:spPr>
                </pic:pic>
              </a:graphicData>
            </a:graphic>
          </wp:inline>
        </w:drawing>
      </w:r>
    </w:p>
    <w:p>
      <w:pPr>
        <w:widowControl/>
        <w:spacing w:line="390" w:lineRule="atLeast"/>
        <w:jc w:val="center"/>
        <w:rPr>
          <w:rFonts w:ascii="黑体" w:hAnsi="黑体" w:eastAsia="黑体" w:cs="黑体"/>
          <w:b/>
          <w:bCs/>
          <w:sz w:val="32"/>
          <w:szCs w:val="22"/>
          <w:shd w:val="clear" w:color="auto" w:fill="FFFFFF"/>
        </w:rPr>
      </w:pPr>
      <w:r>
        <w:rPr>
          <w:rFonts w:hint="eastAsia" w:ascii="黑体" w:hAnsi="黑体" w:eastAsia="黑体" w:cs="黑体"/>
          <w:b/>
          <w:bCs/>
          <w:sz w:val="32"/>
          <w:szCs w:val="22"/>
          <w:shd w:val="clear" w:color="auto" w:fill="FFFFFF"/>
        </w:rPr>
        <w:t>目  录</w:t>
      </w:r>
    </w:p>
    <w:p>
      <w:pPr>
        <w:pStyle w:val="7"/>
        <w:tabs>
          <w:tab w:val="right" w:leader="dot" w:pos="6057"/>
        </w:tabs>
        <w:spacing w:line="360" w:lineRule="auto"/>
        <w:ind w:left="880" w:hanging="480"/>
        <w:rPr>
          <w:rFonts w:ascii="宋体" w:hAnsi="宋体" w:cs="宋体"/>
          <w:sz w:val="24"/>
          <w:szCs w:val="24"/>
          <w:shd w:val="clear" w:color="auto" w:fill="FFFFFF"/>
        </w:rPr>
      </w:pPr>
    </w:p>
    <w:p>
      <w:pPr>
        <w:pStyle w:val="7"/>
        <w:tabs>
          <w:tab w:val="right" w:leader="dot" w:pos="6057"/>
        </w:tabs>
        <w:spacing w:line="360" w:lineRule="auto"/>
        <w:ind w:left="880" w:hanging="480"/>
        <w:rPr>
          <w:rFonts w:asciiTheme="minorHAnsi" w:hAnsiTheme="minorHAnsi" w:eastAsiaTheme="minorEastAsia" w:cstheme="minorBidi"/>
          <w:kern w:val="2"/>
          <w:sz w:val="28"/>
          <w:szCs w:val="22"/>
        </w:rPr>
      </w:pPr>
      <w:r>
        <w:rPr>
          <w:rFonts w:hint="eastAsia" w:ascii="宋体" w:hAnsi="宋体" w:cs="宋体"/>
          <w:sz w:val="24"/>
          <w:szCs w:val="24"/>
          <w:shd w:val="clear" w:color="auto" w:fill="FFFFFF"/>
        </w:rPr>
        <w:fldChar w:fldCharType="begin"/>
      </w:r>
      <w:r>
        <w:rPr>
          <w:rFonts w:hint="eastAsia" w:ascii="宋体" w:hAnsi="宋体" w:cs="宋体"/>
          <w:sz w:val="24"/>
          <w:szCs w:val="24"/>
          <w:shd w:val="clear" w:color="auto" w:fill="FFFFFF"/>
        </w:rPr>
        <w:instrText xml:space="preserve">TOC \t "我的一级标题" \h \c</w:instrText>
      </w:r>
      <w:r>
        <w:rPr>
          <w:rFonts w:hint="eastAsia" w:ascii="宋体" w:hAnsi="宋体" w:cs="宋体"/>
          <w:sz w:val="24"/>
          <w:szCs w:val="24"/>
          <w:shd w:val="clear" w:color="auto" w:fill="FFFFFF"/>
        </w:rPr>
        <w:fldChar w:fldCharType="separate"/>
      </w:r>
      <w:r>
        <w:fldChar w:fldCharType="begin"/>
      </w:r>
      <w:r>
        <w:instrText xml:space="preserve"> HYPERLINK \l "_Toc151656217" </w:instrText>
      </w:r>
      <w:r>
        <w:fldChar w:fldCharType="separate"/>
      </w:r>
      <w:r>
        <w:rPr>
          <w:rStyle w:val="12"/>
          <w:rFonts w:hint="eastAsia"/>
          <w:sz w:val="24"/>
        </w:rPr>
        <w:t>湖南交通工程学院简介</w:t>
      </w:r>
      <w:r>
        <w:rPr>
          <w:sz w:val="24"/>
        </w:rPr>
        <w:tab/>
      </w:r>
      <w:r>
        <w:rPr>
          <w:sz w:val="24"/>
        </w:rPr>
        <w:fldChar w:fldCharType="begin"/>
      </w:r>
      <w:r>
        <w:rPr>
          <w:sz w:val="24"/>
        </w:rPr>
        <w:instrText xml:space="preserve"> PAGEREF _Toc151656217 \h </w:instrText>
      </w:r>
      <w:r>
        <w:rPr>
          <w:sz w:val="24"/>
        </w:rPr>
        <w:fldChar w:fldCharType="separate"/>
      </w:r>
      <w:r>
        <w:rPr>
          <w:sz w:val="24"/>
        </w:rPr>
        <w:t>1</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"_Toc151656218" </w:instrText>
      </w:r>
      <w:r>
        <w:fldChar w:fldCharType="separate"/>
      </w:r>
      <w:r>
        <w:rPr>
          <w:rStyle w:val="12"/>
          <w:rFonts w:hint="eastAsia"/>
          <w:sz w:val="24"/>
        </w:rPr>
        <w:t>电气与信息工程学院简介</w:t>
      </w:r>
      <w:r>
        <w:rPr>
          <w:sz w:val="24"/>
        </w:rPr>
        <w:tab/>
      </w:r>
      <w:r>
        <w:rPr>
          <w:sz w:val="24"/>
        </w:rPr>
        <w:fldChar w:fldCharType="begin"/>
      </w:r>
      <w:r>
        <w:rPr>
          <w:sz w:val="24"/>
        </w:rPr>
        <w:instrText xml:space="preserve"> PAGEREF _Toc151656218 \h </w:instrText>
      </w:r>
      <w:r>
        <w:rPr>
          <w:sz w:val="24"/>
        </w:rPr>
        <w:fldChar w:fldCharType="separate"/>
      </w:r>
      <w:r>
        <w:rPr>
          <w:sz w:val="24"/>
        </w:rPr>
        <w:t>3</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"_Toc151656219" </w:instrText>
      </w:r>
      <w:r>
        <w:fldChar w:fldCharType="separate"/>
      </w:r>
      <w:r>
        <w:rPr>
          <w:rStyle w:val="12"/>
          <w:rFonts w:hint="eastAsia"/>
          <w:sz w:val="24"/>
        </w:rPr>
        <w:t>电气与信息工程学院各专业简介</w:t>
      </w:r>
      <w:r>
        <w:rPr>
          <w:sz w:val="24"/>
        </w:rPr>
        <w:tab/>
      </w:r>
      <w:r>
        <w:rPr>
          <w:sz w:val="24"/>
        </w:rPr>
        <w:fldChar w:fldCharType="begin"/>
      </w:r>
      <w:r>
        <w:rPr>
          <w:sz w:val="24"/>
        </w:rPr>
        <w:instrText xml:space="preserve"> PAGEREF _Toc151656219 \h </w:instrText>
      </w:r>
      <w:r>
        <w:rPr>
          <w:sz w:val="24"/>
        </w:rPr>
        <w:fldChar w:fldCharType="separate"/>
      </w:r>
      <w:r>
        <w:rPr>
          <w:sz w:val="24"/>
        </w:rPr>
        <w:t>5</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"_Toc151656220" </w:instrText>
      </w:r>
      <w:r>
        <w:fldChar w:fldCharType="separate"/>
      </w:r>
      <w:r>
        <w:rPr>
          <w:rStyle w:val="12"/>
          <w:sz w:val="24"/>
        </w:rPr>
        <w:t>2024</w:t>
      </w:r>
      <w:r>
        <w:rPr>
          <w:rStyle w:val="12"/>
          <w:rFonts w:hint="eastAsia"/>
          <w:sz w:val="24"/>
        </w:rPr>
        <w:t>届毕业生人数统计表</w:t>
      </w:r>
      <w:r>
        <w:rPr>
          <w:sz w:val="24"/>
        </w:rPr>
        <w:tab/>
      </w:r>
      <w:r>
        <w:rPr>
          <w:sz w:val="24"/>
        </w:rPr>
        <w:fldChar w:fldCharType="begin"/>
      </w:r>
      <w:r>
        <w:rPr>
          <w:sz w:val="24"/>
        </w:rPr>
        <w:instrText xml:space="preserve"> PAGEREF _Toc151656220 \h </w:instrText>
      </w:r>
      <w:r>
        <w:rPr>
          <w:sz w:val="24"/>
        </w:rPr>
        <w:fldChar w:fldCharType="separate"/>
      </w:r>
      <w:r>
        <w:rPr>
          <w:sz w:val="24"/>
        </w:rPr>
        <w:t>11</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"_Toc151656221" </w:instrText>
      </w:r>
      <w:r>
        <w:fldChar w:fldCharType="separate"/>
      </w:r>
      <w:r>
        <w:rPr>
          <w:rStyle w:val="12"/>
          <w:rFonts w:hint="eastAsia"/>
          <w:sz w:val="24"/>
        </w:rPr>
        <w:t>招聘会参会嘉宾</w:t>
      </w:r>
      <w:r>
        <w:rPr>
          <w:sz w:val="24"/>
        </w:rPr>
        <w:tab/>
      </w:r>
      <w:r>
        <w:rPr>
          <w:sz w:val="24"/>
        </w:rPr>
        <w:fldChar w:fldCharType="begin"/>
      </w:r>
      <w:r>
        <w:rPr>
          <w:sz w:val="24"/>
        </w:rPr>
        <w:instrText xml:space="preserve"> PAGEREF _Toc151656221 \h </w:instrText>
      </w:r>
      <w:r>
        <w:rPr>
          <w:sz w:val="24"/>
        </w:rPr>
        <w:fldChar w:fldCharType="separate"/>
      </w:r>
      <w:r>
        <w:rPr>
          <w:sz w:val="24"/>
        </w:rPr>
        <w:t>12</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"_Toc151656222" </w:instrText>
      </w:r>
      <w:r>
        <w:fldChar w:fldCharType="separate"/>
      </w:r>
      <w:r>
        <w:rPr>
          <w:rStyle w:val="12"/>
          <w:rFonts w:hint="eastAsia"/>
          <w:sz w:val="24"/>
        </w:rPr>
        <w:t>招聘会日程安排</w:t>
      </w:r>
      <w:r>
        <w:rPr>
          <w:sz w:val="24"/>
        </w:rPr>
        <w:tab/>
      </w:r>
      <w:r>
        <w:rPr>
          <w:sz w:val="24"/>
        </w:rPr>
        <w:fldChar w:fldCharType="begin"/>
      </w:r>
      <w:r>
        <w:rPr>
          <w:sz w:val="24"/>
        </w:rPr>
        <w:instrText xml:space="preserve"> PAGEREF _Toc151656222 \h </w:instrText>
      </w:r>
      <w:r>
        <w:rPr>
          <w:sz w:val="24"/>
        </w:rPr>
        <w:fldChar w:fldCharType="separate"/>
      </w:r>
      <w:r>
        <w:rPr>
          <w:sz w:val="24"/>
        </w:rPr>
        <w:t>14</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"_Toc151656223" </w:instrText>
      </w:r>
      <w:r>
        <w:fldChar w:fldCharType="separate"/>
      </w:r>
      <w:r>
        <w:rPr>
          <w:rStyle w:val="12"/>
          <w:rFonts w:hint="eastAsia"/>
          <w:sz w:val="24"/>
        </w:rPr>
        <w:t>招聘会启动仪式议程</w:t>
      </w:r>
      <w:r>
        <w:rPr>
          <w:sz w:val="24"/>
        </w:rPr>
        <w:tab/>
      </w:r>
      <w:r>
        <w:rPr>
          <w:sz w:val="24"/>
        </w:rPr>
        <w:fldChar w:fldCharType="begin"/>
      </w:r>
      <w:r>
        <w:rPr>
          <w:sz w:val="24"/>
        </w:rPr>
        <w:instrText xml:space="preserve"> PAGEREF _Toc151656223 \h </w:instrText>
      </w:r>
      <w:r>
        <w:rPr>
          <w:sz w:val="24"/>
        </w:rPr>
        <w:fldChar w:fldCharType="separate"/>
      </w:r>
      <w:r>
        <w:rPr>
          <w:sz w:val="24"/>
        </w:rPr>
        <w:t>15</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"_Toc151656224" </w:instrText>
      </w:r>
      <w:r>
        <w:fldChar w:fldCharType="separate"/>
      </w:r>
      <w:r>
        <w:rPr>
          <w:rStyle w:val="12"/>
          <w:rFonts w:hint="eastAsia"/>
          <w:sz w:val="24"/>
        </w:rPr>
        <w:t>招聘会工作领导小组</w:t>
      </w:r>
      <w:r>
        <w:rPr>
          <w:sz w:val="24"/>
        </w:rPr>
        <w:tab/>
      </w:r>
      <w:r>
        <w:rPr>
          <w:sz w:val="24"/>
        </w:rPr>
        <w:fldChar w:fldCharType="begin"/>
      </w:r>
      <w:r>
        <w:rPr>
          <w:sz w:val="24"/>
        </w:rPr>
        <w:instrText xml:space="preserve"> PAGEREF _Toc151656224 \h </w:instrText>
      </w:r>
      <w:r>
        <w:rPr>
          <w:sz w:val="24"/>
        </w:rPr>
        <w:fldChar w:fldCharType="separate"/>
      </w:r>
      <w:r>
        <w:rPr>
          <w:sz w:val="24"/>
        </w:rPr>
        <w:t>16</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"_Toc151656225" </w:instrText>
      </w:r>
      <w:r>
        <w:fldChar w:fldCharType="separate"/>
      </w:r>
      <w:r>
        <w:rPr>
          <w:rStyle w:val="12"/>
          <w:rFonts w:hint="eastAsia"/>
          <w:sz w:val="24"/>
        </w:rPr>
        <w:t>招聘会工作领导小组通讯录</w:t>
      </w:r>
      <w:r>
        <w:rPr>
          <w:sz w:val="24"/>
        </w:rPr>
        <w:tab/>
      </w:r>
      <w:r>
        <w:rPr>
          <w:sz w:val="24"/>
        </w:rPr>
        <w:fldChar w:fldCharType="begin"/>
      </w:r>
      <w:r>
        <w:rPr>
          <w:sz w:val="24"/>
        </w:rPr>
        <w:instrText xml:space="preserve"> PAGEREF _Toc151656225 \h </w:instrText>
      </w:r>
      <w:r>
        <w:rPr>
          <w:sz w:val="24"/>
        </w:rPr>
        <w:fldChar w:fldCharType="separate"/>
      </w:r>
      <w:r>
        <w:rPr>
          <w:sz w:val="24"/>
        </w:rPr>
        <w:t>17</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"_Toc151656226" </w:instrText>
      </w:r>
      <w:r>
        <w:fldChar w:fldCharType="separate"/>
      </w:r>
      <w:r>
        <w:rPr>
          <w:rStyle w:val="12"/>
          <w:rFonts w:hint="eastAsia"/>
          <w:sz w:val="24"/>
        </w:rPr>
        <w:t>招聘会各职能小组负责人</w:t>
      </w:r>
      <w:r>
        <w:rPr>
          <w:sz w:val="24"/>
        </w:rPr>
        <w:tab/>
      </w:r>
      <w:r>
        <w:rPr>
          <w:sz w:val="24"/>
        </w:rPr>
        <w:fldChar w:fldCharType="begin"/>
      </w:r>
      <w:r>
        <w:rPr>
          <w:sz w:val="24"/>
        </w:rPr>
        <w:instrText xml:space="preserve"> PAGEREF _Toc151656226 \h </w:instrText>
      </w:r>
      <w:r>
        <w:rPr>
          <w:sz w:val="24"/>
        </w:rPr>
        <w:fldChar w:fldCharType="separate"/>
      </w:r>
      <w:r>
        <w:rPr>
          <w:sz w:val="24"/>
        </w:rPr>
        <w:t>18</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"_Toc151656227" </w:instrText>
      </w:r>
      <w:r>
        <w:fldChar w:fldCharType="separate"/>
      </w:r>
      <w:r>
        <w:rPr>
          <w:rStyle w:val="12"/>
          <w:rFonts w:hint="eastAsia"/>
          <w:sz w:val="24"/>
        </w:rPr>
        <w:t>招聘单位及招聘专业一览表</w:t>
      </w:r>
      <w:r>
        <w:rPr>
          <w:sz w:val="24"/>
        </w:rPr>
        <w:tab/>
      </w:r>
      <w:r>
        <w:rPr>
          <w:sz w:val="24"/>
        </w:rPr>
        <w:fldChar w:fldCharType="begin"/>
      </w:r>
      <w:r>
        <w:rPr>
          <w:sz w:val="24"/>
        </w:rPr>
        <w:instrText xml:space="preserve"> PAGEREF _Toc151656227 \h </w:instrText>
      </w:r>
      <w:r>
        <w:rPr>
          <w:sz w:val="24"/>
        </w:rPr>
        <w:fldChar w:fldCharType="separate"/>
      </w:r>
      <w:r>
        <w:rPr>
          <w:sz w:val="24"/>
        </w:rPr>
        <w:t>19</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"_Toc151656228" </w:instrText>
      </w:r>
      <w:r>
        <w:fldChar w:fldCharType="separate"/>
      </w:r>
      <w:r>
        <w:rPr>
          <w:rStyle w:val="12"/>
          <w:rFonts w:hint="eastAsia"/>
          <w:sz w:val="24"/>
        </w:rPr>
        <w:t>招聘企业简介</w:t>
      </w:r>
      <w:r>
        <w:rPr>
          <w:sz w:val="24"/>
        </w:rPr>
        <w:tab/>
      </w:r>
      <w:r>
        <w:rPr>
          <w:sz w:val="24"/>
        </w:rPr>
        <w:fldChar w:fldCharType="begin"/>
      </w:r>
      <w:r>
        <w:rPr>
          <w:sz w:val="24"/>
        </w:rPr>
        <w:instrText xml:space="preserve"> PAGEREF _Toc151656228 \h </w:instrText>
      </w:r>
      <w:r>
        <w:rPr>
          <w:sz w:val="24"/>
        </w:rPr>
        <w:fldChar w:fldCharType="separate"/>
      </w:r>
      <w:r>
        <w:rPr>
          <w:sz w:val="24"/>
        </w:rPr>
        <w:t>22</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8"/>
          <w:szCs w:val="22"/>
        </w:rPr>
      </w:pPr>
      <w:r>
        <w:fldChar w:fldCharType="begin"/>
      </w:r>
      <w:r>
        <w:instrText xml:space="preserve"> HYPERLINK \l "_Toc151656229" </w:instrText>
      </w:r>
      <w:r>
        <w:fldChar w:fldCharType="separate"/>
      </w:r>
      <w:r>
        <w:rPr>
          <w:rStyle w:val="12"/>
          <w:rFonts w:hint="eastAsia"/>
          <w:sz w:val="24"/>
        </w:rPr>
        <w:t>招聘会期间天气情况</w:t>
      </w:r>
      <w:r>
        <w:rPr>
          <w:sz w:val="24"/>
        </w:rPr>
        <w:tab/>
      </w:r>
      <w:r>
        <w:rPr>
          <w:sz w:val="24"/>
        </w:rPr>
        <w:fldChar w:fldCharType="begin"/>
      </w:r>
      <w:r>
        <w:rPr>
          <w:sz w:val="24"/>
        </w:rPr>
        <w:instrText xml:space="preserve"> PAGEREF _Toc151656229 \h </w:instrText>
      </w:r>
      <w:r>
        <w:rPr>
          <w:sz w:val="24"/>
        </w:rPr>
        <w:fldChar w:fldCharType="separate"/>
      </w:r>
      <w:r>
        <w:rPr>
          <w:sz w:val="24"/>
        </w:rPr>
        <w:t>45</w:t>
      </w:r>
      <w:r>
        <w:rPr>
          <w:sz w:val="24"/>
        </w:rPr>
        <w:fldChar w:fldCharType="end"/>
      </w:r>
      <w:r>
        <w:rPr>
          <w:sz w:val="24"/>
        </w:rPr>
        <w:fldChar w:fldCharType="end"/>
      </w:r>
    </w:p>
    <w:p>
      <w:pPr>
        <w:pStyle w:val="7"/>
        <w:tabs>
          <w:tab w:val="right" w:leader="dot" w:pos="6057"/>
        </w:tabs>
        <w:spacing w:line="360" w:lineRule="auto"/>
        <w:ind w:left="800" w:hanging="400"/>
        <w:rPr>
          <w:rFonts w:asciiTheme="minorHAnsi" w:hAnsiTheme="minorHAnsi" w:eastAsiaTheme="minorEastAsia" w:cstheme="minorBidi"/>
          <w:kern w:val="2"/>
          <w:sz w:val="21"/>
          <w:szCs w:val="22"/>
        </w:rPr>
      </w:pPr>
      <w:r>
        <w:fldChar w:fldCharType="begin"/>
      </w:r>
      <w:r>
        <w:instrText xml:space="preserve"> HYPERLINK \l "_Toc151656230" </w:instrText>
      </w:r>
      <w:r>
        <w:fldChar w:fldCharType="separate"/>
      </w:r>
      <w:r>
        <w:rPr>
          <w:rStyle w:val="12"/>
          <w:rFonts w:hint="eastAsia"/>
          <w:sz w:val="24"/>
        </w:rPr>
        <w:t>致</w:t>
      </w:r>
      <w:r>
        <w:rPr>
          <w:rStyle w:val="12"/>
          <w:sz w:val="24"/>
        </w:rPr>
        <w:t xml:space="preserve"> </w:t>
      </w:r>
      <w:r>
        <w:rPr>
          <w:rStyle w:val="12"/>
          <w:rFonts w:hint="eastAsia"/>
          <w:sz w:val="24"/>
        </w:rPr>
        <w:t>谢</w:t>
      </w:r>
      <w:r>
        <w:rPr>
          <w:sz w:val="24"/>
        </w:rPr>
        <w:tab/>
      </w:r>
      <w:r>
        <w:rPr>
          <w:sz w:val="24"/>
        </w:rPr>
        <w:fldChar w:fldCharType="begin"/>
      </w:r>
      <w:r>
        <w:rPr>
          <w:sz w:val="24"/>
        </w:rPr>
        <w:instrText xml:space="preserve"> PAGEREF _Toc151656230 \h </w:instrText>
      </w:r>
      <w:r>
        <w:rPr>
          <w:sz w:val="24"/>
        </w:rPr>
        <w:fldChar w:fldCharType="separate"/>
      </w:r>
      <w:r>
        <w:rPr>
          <w:sz w:val="24"/>
        </w:rPr>
        <w:t>46</w:t>
      </w:r>
      <w:r>
        <w:rPr>
          <w:sz w:val="24"/>
        </w:rPr>
        <w:fldChar w:fldCharType="end"/>
      </w:r>
      <w:r>
        <w:rPr>
          <w:sz w:val="24"/>
        </w:rPr>
        <w:fldChar w:fldCharType="end"/>
      </w:r>
    </w:p>
    <w:p>
      <w:pPr>
        <w:widowControl/>
        <w:spacing w:line="360" w:lineRule="auto"/>
        <w:rPr>
          <w:rFonts w:ascii="黑体" w:hAnsi="黑体" w:eastAsia="黑体" w:cs="黑体"/>
          <w:sz w:val="30"/>
          <w:szCs w:val="30"/>
          <w:shd w:val="clear" w:color="auto" w:fill="FFFFFF"/>
        </w:rPr>
        <w:sectPr>
          <w:footerReference r:id="rId3" w:type="default"/>
          <w:pgSz w:w="8392" w:h="11907"/>
          <w:pgMar w:top="1134" w:right="1021" w:bottom="1134" w:left="1304" w:header="851" w:footer="992" w:gutter="0"/>
          <w:pgNumType w:start="1"/>
          <w:cols w:space="425" w:num="1"/>
          <w:docGrid w:type="lines" w:linePitch="312" w:charSpace="0"/>
        </w:sectPr>
      </w:pPr>
      <w:r>
        <w:rPr>
          <w:rFonts w:hint="eastAsia" w:ascii="宋体" w:hAnsi="宋体" w:cs="宋体"/>
          <w:sz w:val="24"/>
          <w:szCs w:val="24"/>
          <w:shd w:val="clear" w:color="auto" w:fill="FFFFFF"/>
        </w:rPr>
        <w:fldChar w:fldCharType="end"/>
      </w:r>
    </w:p>
    <w:p>
      <w:pPr>
        <w:widowControl/>
        <w:spacing w:line="390" w:lineRule="atLeast"/>
        <w:jc w:val="center"/>
      </w:pPr>
      <w:r>
        <w:rPr>
          <w:rFonts w:ascii="����" w:hAnsi="����" w:eastAsia="����" w:cs="����"/>
          <w:color w:val="FE5A03"/>
          <w:sz w:val="24"/>
          <w:shd w:val="clear" w:color="auto" w:fill="FFFFFF"/>
        </w:rPr>
        <w:drawing>
          <wp:inline distT="0" distB="0" distL="114300" distR="114300">
            <wp:extent cx="2105025" cy="344170"/>
            <wp:effectExtent l="0" t="0" r="9525" b="17780"/>
            <wp:docPr id="1" name="图片 1" descr="交通学院字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交通学院字体.png"/>
                    <pic:cNvPicPr>
                      <a:picLocks noChangeAspect="1"/>
                    </pic:cNvPicPr>
                  </pic:nvPicPr>
                  <pic:blipFill>
                    <a:blip r:embed="rId8"/>
                    <a:stretch>
                      <a:fillRect/>
                    </a:stretch>
                  </pic:blipFill>
                  <pic:spPr>
                    <a:xfrm>
                      <a:off x="0" y="0"/>
                      <a:ext cx="2105025" cy="344170"/>
                    </a:xfrm>
                    <a:prstGeom prst="rect">
                      <a:avLst/>
                    </a:prstGeom>
                    <a:noFill/>
                    <a:ln w="9525">
                      <a:noFill/>
                    </a:ln>
                  </pic:spPr>
                </pic:pic>
              </a:graphicData>
            </a:graphic>
          </wp:inline>
        </w:drawing>
      </w:r>
    </w:p>
    <w:p>
      <w:pPr>
        <w:pStyle w:val="18"/>
        <w:rPr>
          <w:rFonts w:hint="default" w:cs="黑体"/>
        </w:rPr>
      </w:pPr>
      <w:bookmarkStart w:id="0" w:name="_Toc151649373"/>
      <w:bookmarkStart w:id="1" w:name="_Toc151656217"/>
      <w:r>
        <w:t>湖南交通工程学院简介</w:t>
      </w:r>
      <w:bookmarkEnd w:id="0"/>
      <w:bookmarkEnd w:id="1"/>
    </w:p>
    <w:p>
      <w:pPr>
        <w:pStyle w:val="8"/>
        <w:shd w:val="clear" w:color="auto" w:fill="FFFFFF"/>
        <w:spacing w:before="0" w:beforeAutospacing="0" w:after="0" w:afterAutospacing="0" w:line="300" w:lineRule="exact"/>
        <w:ind w:firstLine="420"/>
        <w:rPr>
          <w:rFonts w:ascii="微软雅黑" w:hAnsi="微软雅黑" w:eastAsia="微软雅黑" w:cs="微软雅黑"/>
          <w:color w:val="323232"/>
          <w:sz w:val="30"/>
          <w:szCs w:val="30"/>
          <w:shd w:val="clear" w:color="auto" w:fill="FFFFFF"/>
        </w:rPr>
      </w:pP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湖南交通工程学院，坐落在中国历史文化名城衡阳，是经教育部批准成立的一所全日制普通本科高校。其前身系1991年创办的衡阳市中南技工学校，2018年获学士学位授予权。</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经过32年的建设与发展，学校形成了鲜明的办学特色和综合性学科格局。学校现设交通运输工程学院、电气与信息工程学院、机电工程学院、经济管理学院、医学技术与护理学院、人文与艺术学院、马克思主义学院、公共基础课部、高科技研究院、创新创业学院等10个二级教学科研单位。学校积极策应“中国制造2025”和“互联网+”行动计划，主动对接地方主导产业集群设置专业，满足地方经济发展对人才的需求。现有30个本科专业，形成了以工学为主，管理学、医学、经济学、艺术学、文学等协调发展的学科专业体系。建有省级应用特色学科2个、省级综合改革试点专业1个、省级一流本科专业建设点5个、省级一流课程23门。</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校构建了一支以博士、教授、海外创新人才、企事业行业精英为主体的的双师双能型师资队伍。现有教职工1225人，其中专任教师902人，自有专任教师615人。具有高级职称328人，具有博士学位127人；享受国务院特殊津贴专家4人，全国优秀教师4名，湖南省优秀教师10名，湖南省新世纪121人才6人，湖南省青年骨干教师15人，衡阳市高层次人才17人。为加快“双一流”建设，学校开全国高校之先河，高起点、高水平、高标准组建学校“高科技研究院”，聘请国防科大100余名博士教授任职。现有全日制在校学生14748人。</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学校占地面积1265.43亩，校舍总建筑面积43.87万平方米；教学科研仪器设备总值12641.26万元；纸质图书122.46万册，电子图书193.7万册，纸质期刊1022种，数据库20个。</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学校拥有一大批先进的实验设备和应用软件，建有大型仿真交通轨道模拟实训场，汽车检测与维修、电工电子等国家级实训基地。获批省级大学生创新孵化示范基地立项建设；有设施先进、设备完善的各类实验（实训）中心9个，省级校企合作创新创业教育基地6个，创新创业教育中心6个；建设校外实习、实训就业基地109个，较好地满足了本科实践教学需求。</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学校2014年升本以来，立项国家和省厅级课题497项，其中国家自然科学基金面上项目1项，全国教育科学规划重点课题1项；在SCI、EI、CSSCI等学术期刊发表论文1594篇；教师获各类授权专利192项,  软件著作权281项，出版著作77部、教材143部。学校注重科研成果融入教学，学科建设成效明显。2020-2022年，承担省级教学改革研究项目62项，课程思政建设研究项目12项；获省级教学成果奖6项。</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学校高度重视创新创业教育，强化学科竞赛对人才的创新能力培养，树立创业带动就业理念。2020届、2021届、2022届本科毕业生初次就业率分别为83.38%、91.13%、86.06%，均高于全省本科高校平均水平。2020-2022年，获批国家级大学生创新创业训练计划项目58项、省级117项，教育部产学合作协同育人项目40项；护士执业资格考证通过率分别为99.14%，100%，98.20%，高于全省和全国平均通过率。近3年，组织大学生参与各级学科竞赛3.56万余人次，获全国性竞赛奖项68项；其中2021年获中国大学生工程实践与创新能力大赛“智能+”赛道智能物流搬运赛项（智能机器人项目）金奖，全国大学生电子设计竞赛全国一等奖。获省级竞赛奖项419项，其中一等奖74项。</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学校秉承“厚德、善思、强能、笃行”的校训，强化应用型人才培养，办学水平和人才培养质量得到社会普遍认可。先后获教育部人才培养工作水平评估优秀单位、湖南省就业创业工作“一把手工程”优秀单位、湖南省文明高校、湖南省园林式单位、湖南省征兵工作先进单位、湖南省全民国防教育工作先进单位、湖南省民办学校抗击新冠肺炎疫情工作先进单位等荣誉称号。</w:t>
      </w:r>
    </w:p>
    <w:p>
      <w:pPr>
        <w:pStyle w:val="8"/>
        <w:shd w:val="clear" w:color="auto" w:fill="FFFFFF"/>
        <w:spacing w:before="0" w:beforeAutospacing="0" w:after="0" w:afterAutospacing="0" w:line="480" w:lineRule="exact"/>
        <w:ind w:firstLine="420"/>
        <w:rPr>
          <w:rFonts w:ascii="微软雅黑" w:hAnsi="微软雅黑" w:eastAsia="微软雅黑" w:cs="微软雅黑"/>
          <w:color w:val="323232"/>
          <w:sz w:val="26"/>
          <w:szCs w:val="26"/>
        </w:rPr>
      </w:pPr>
      <w:r>
        <w:rPr>
          <w:rFonts w:hint="eastAsia" w:ascii="微软雅黑" w:hAnsi="微软雅黑" w:eastAsia="微软雅黑" w:cs="微软雅黑"/>
          <w:color w:val="323232"/>
          <w:sz w:val="26"/>
          <w:szCs w:val="26"/>
          <w:shd w:val="clear" w:color="auto" w:fill="FFFFFF"/>
        </w:rPr>
        <w:t>学校坚守地方性、应用型办学定位，聚焦内涵建设与特色发展，聚焦人才培养质量和服务地方经济，完善“四融三导两突出”校本应用型人才培养模式，不断厚植发展基础和发展优势，找准助力湖南“三高四新”战略、推进衡阳“三强一化”建设的着力点，立足湘南、服务湖南、辐射全国，为办好人民满意的教育，推进中国式现代化贡献湖南交通工程学院的力量。</w:t>
      </w:r>
    </w:p>
    <w:p>
      <w:pPr>
        <w:widowControl/>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16" name="图片 16"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2" w:name="_Toc151649374"/>
      <w:bookmarkStart w:id="3" w:name="_Toc151656218"/>
      <w:r>
        <w:t>电气与信息工程学院简介</w:t>
      </w:r>
      <w:bookmarkEnd w:id="2"/>
      <w:bookmarkEnd w:id="3"/>
    </w:p>
    <w:p>
      <w:pPr>
        <w:widowControl/>
        <w:jc w:val="left"/>
      </w:pP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电气与信息工程学院创办于2014年，是学校重点建设的3个工科学院之一。学院以习近平新时代中国特色社会主义思想为指导，坚持立德树人根本任务，更新教育教学理念，提高本科教学质量意识，探索高素质应用型人才教学模式，规范本科教育教学行为，加大软硬件投入，努力改善办学条件，初步构建了本科教学质量保障体系，本科教学质量稳步提高，办学水平和实力得到显著提升。</w:t>
      </w: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院面向行业需求和服务区域经济发展，办有电气工程及其自动化、电子信息工程、电子商务、物联网工程、软件工程、数据科学与大数据技术6个本科专业和电气自动化技术、计算机网络技术2个专科专业。本专科学生规模达3695人，其中本科学生2968人。学院现设有7个教研室(电气工程、电子信息工程、电子商务、软件工程、物联网工程、大数据和计算机基础)和1个实验中心。</w:t>
      </w: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院努力打造一支充满生机活力的高水平教师队伍。现有教职员工209人，其中教师177人（含自有专任教师111人，外聘教师66人），折合教师数150人，行管人员4人，实验技术人员14人(含机房管理人员7人），辅导员14人。自有教师队伍学历、学缘和职称结构相对合理。现有自有专任教师中，有高级职称52人(其中教授10人），占比47%；有博士及硕士学位的88人（其中博士35人），占比79%。教育部审核评估专家1人，湖南省优秀教师1人。省级学科专业带头人1人，校级学科专业带头人9人。为了实现应用型人才培养目标，69%的专任教师为有工程实践经历的双师型教师。</w:t>
      </w: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积极推进学科专业和课程建设。电子信息工程被认定为湖南省一流专业，软件工程和电气工程及其自动化2个专业为学校一流专业，单片机原理与应用、软件工程、电商社会实践、电力变压器的虚拟仿真实验、数字电子技术和程序设计基础等6门课程入选湖南省一流建设课程。另有校级一流建设课程5门。积极开展以学生为主体的课堂教学改革，加强学生思维能力和创新意识的培养。</w:t>
      </w: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院重视实验室建设，强化实践能力的培养。学院拥有由国家教育部和财政部共建的电工电子及自动化综合实验实训基地，建有交通大数据、计算机网络与安全、嵌入式、物联网、继电保护、电力电子、现代通信、软件开发等设备较为先进的实验（训）室，面积6577平米，设备总资产达2000万元。建设了特变电工衡阳公司、华菱钢管（衡阳）、湘南软件等40余个校外实习实训基地。学院建有湖南省大学生创新创业教育中心和湖南省校企合作创新创业基地各1个。</w:t>
      </w:r>
    </w:p>
    <w:p>
      <w:pPr>
        <w:widowControl/>
        <w:spacing w:line="48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学院高度重视学生创新能力和综合素质的培养。学生科技创新活动及社团活动十分丰富，学生在全国和省级各类学科竞赛中屡创佳绩。近3年来，本院学生承担国家和湖南省大学生创新项目60余项，参加国家级、省级各类学科竞赛共获奖72项，其中，国家一等奖4项，湖南省一等奖15项，二等奖22项，三等奖31项。</w:t>
      </w: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spacing w:line="460" w:lineRule="exact"/>
        <w:jc w:val="left"/>
        <w:rPr>
          <w:sz w:val="28"/>
          <w:szCs w:val="28"/>
        </w:rPr>
      </w:pPr>
    </w:p>
    <w:p>
      <w:pPr>
        <w:widowControl/>
        <w:jc w:val="center"/>
      </w:pPr>
    </w:p>
    <w:p>
      <w:pPr>
        <w:widowControl/>
        <w:jc w:val="center"/>
      </w:pPr>
    </w:p>
    <w:p>
      <w:pPr>
        <w:widowControl/>
        <w:jc w:val="center"/>
      </w:pPr>
    </w:p>
    <w:p>
      <w:pPr>
        <w:widowControl/>
        <w:jc w:val="center"/>
      </w:pPr>
    </w:p>
    <w:p>
      <w:pPr>
        <w:widowControl/>
        <w:jc w:val="center"/>
      </w:pPr>
      <w:r>
        <w:drawing>
          <wp:inline distT="0" distB="0" distL="0" distR="0">
            <wp:extent cx="2310765" cy="3962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18"/>
        <w:rPr>
          <w:rFonts w:hint="default"/>
        </w:rPr>
      </w:pPr>
      <w:bookmarkStart w:id="4" w:name="_Toc151649375"/>
      <w:bookmarkStart w:id="5" w:name="_Toc7274"/>
      <w:bookmarkStart w:id="6" w:name="_Toc151656219"/>
      <w:bookmarkStart w:id="7" w:name="_Toc7330"/>
      <w:r>
        <w:t>电气与信息工程学院各专业简介</w:t>
      </w:r>
      <w:bookmarkEnd w:id="4"/>
      <w:bookmarkEnd w:id="5"/>
      <w:bookmarkEnd w:id="6"/>
      <w:bookmarkEnd w:id="7"/>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电气工程及其自动化</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电气工程及其自动化专业的基础知识及应用知识，具有技术研发、组织管理和较强就业创业能力，能从事与电气工程领域相关的工程设计、系统运行、研制开发、生产制造、信息处理等方面工作的高素质应用型人才。</w:t>
      </w:r>
    </w:p>
    <w:p>
      <w:pPr>
        <w:widowControl/>
        <w:spacing w:line="500" w:lineRule="exact"/>
        <w:jc w:val="left"/>
        <w:rPr>
          <w:rFonts w:ascii="微软雅黑" w:hAnsi="微软雅黑" w:eastAsia="微软雅黑" w:cs="微软雅黑"/>
          <w:b/>
          <w:color w:val="323232"/>
          <w:sz w:val="28"/>
          <w:szCs w:val="28"/>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电气工程、控制科学与工程。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（二）核心课程</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电路原理、模拟电子技术、数字电子技术、自动控制原理、电力电子技术、电器控制与可编程控制器、单片机原理及应用、电力系统继电保护原理、电力系统分析、高电压技术。</w:t>
      </w:r>
      <w:r>
        <w:rPr>
          <w:sz w:val="28"/>
          <w:szCs w:val="28"/>
        </w:rPr>
        <w:br w:type="page"/>
      </w:r>
    </w:p>
    <w:p>
      <w:pPr>
        <w:widowControl/>
        <w:jc w:val="center"/>
      </w:pPr>
      <w:r>
        <w:drawing>
          <wp:inline distT="0" distB="0" distL="0" distR="0">
            <wp:extent cx="2310765" cy="3962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2"/>
        <w:jc w:val="center"/>
        <w:rPr>
          <w:rFonts w:ascii="黑体" w:hAnsi="黑体" w:eastAsia="黑体"/>
          <w:b/>
          <w:sz w:val="36"/>
          <w:szCs w:val="36"/>
        </w:rPr>
      </w:pPr>
      <w:bookmarkStart w:id="8" w:name="_Toc28999"/>
      <w:bookmarkStart w:id="9" w:name="_Toc23411"/>
      <w:r>
        <w:rPr>
          <w:rFonts w:ascii="黑体" w:hAnsi="黑体" w:eastAsia="黑体"/>
          <w:b/>
          <w:sz w:val="36"/>
          <w:szCs w:val="36"/>
        </w:rPr>
        <w:t>电气与信息工程学院专业简介</w:t>
      </w:r>
      <w:bookmarkEnd w:id="8"/>
      <w:bookmarkEnd w:id="9"/>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电子信息工程</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电子科学与技术、信息与通信工程专业的基础及应用知识，具有良好的综合设计能力、探索创新能力、解决实际问题能力和较强的就业创业能力，能从事各类电子设备和信息系统的产品设计、工艺制造、应用开发、维护管理等方面工作的高素质应用型人才。</w:t>
      </w:r>
    </w:p>
    <w:p>
      <w:pPr>
        <w:widowControl/>
        <w:spacing w:line="500" w:lineRule="exact"/>
        <w:jc w:val="left"/>
        <w:rPr>
          <w:rFonts w:ascii="微软雅黑" w:hAnsi="微软雅黑" w:eastAsia="微软雅黑" w:cs="微软雅黑"/>
          <w:b/>
          <w:color w:val="323232"/>
          <w:sz w:val="28"/>
          <w:szCs w:val="28"/>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电子科学与技术、信息与通信工程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 xml:space="preserve">（二）核心课程 </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电路原理、模拟电子技术、数字电子技术、信号与系统、自动控制原理、通信原理、数字信号处理、算法与数据结构。</w:t>
      </w:r>
      <w:r>
        <w:rPr>
          <w:sz w:val="28"/>
          <w:szCs w:val="28"/>
        </w:rPr>
        <w:br w:type="page"/>
      </w:r>
    </w:p>
    <w:p>
      <w:pPr>
        <w:widowControl/>
        <w:jc w:val="center"/>
      </w:pPr>
      <w:r>
        <w:drawing>
          <wp:inline distT="0" distB="0" distL="0" distR="0">
            <wp:extent cx="2310765" cy="39624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2"/>
        <w:jc w:val="center"/>
        <w:rPr>
          <w:rFonts w:ascii="黑体" w:hAnsi="黑体" w:eastAsia="黑体"/>
          <w:b/>
          <w:sz w:val="36"/>
          <w:szCs w:val="36"/>
        </w:rPr>
      </w:pPr>
      <w:bookmarkStart w:id="10" w:name="_Toc19581"/>
      <w:bookmarkStart w:id="11" w:name="_Toc14239"/>
      <w:r>
        <w:rPr>
          <w:rFonts w:ascii="黑体" w:hAnsi="黑体" w:eastAsia="黑体"/>
          <w:b/>
          <w:sz w:val="36"/>
          <w:szCs w:val="36"/>
        </w:rPr>
        <w:t>电气与信息工程学院专业简介</w:t>
      </w:r>
      <w:bookmarkEnd w:id="10"/>
      <w:bookmarkEnd w:id="11"/>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软件工程</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软件工程专业的基础知识及应用知识，具备沟通协调、团队合作、终身学习能力，具有软件开发能力和较强就业创业能力，能从事软件设计、开发、测试、维护及管理工作的高素质应用型人才。</w:t>
      </w:r>
    </w:p>
    <w:p>
      <w:pPr>
        <w:widowControl/>
        <w:spacing w:line="500" w:lineRule="exact"/>
        <w:jc w:val="left"/>
        <w:rPr>
          <w:rFonts w:ascii="微软雅黑" w:hAnsi="微软雅黑" w:eastAsia="微软雅黑" w:cs="微软雅黑"/>
          <w:b/>
          <w:color w:val="323232"/>
          <w:sz w:val="28"/>
          <w:szCs w:val="28"/>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计算机科学与技术、软件工程。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（二）核心课程</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面向对象程序设计（C++）、数据结构、计算机组成原理、计算机网络、操作系统、数据库原理、软件工程、软件设计与体系结构。</w:t>
      </w:r>
      <w:r>
        <w:rPr>
          <w:sz w:val="28"/>
          <w:szCs w:val="28"/>
        </w:rPr>
        <w:br w:type="page"/>
      </w:r>
    </w:p>
    <w:p>
      <w:pPr>
        <w:widowControl/>
        <w:jc w:val="center"/>
      </w:pPr>
      <w:r>
        <w:drawing>
          <wp:inline distT="0" distB="0" distL="0" distR="0">
            <wp:extent cx="2310765" cy="3962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2"/>
        <w:jc w:val="center"/>
        <w:rPr>
          <w:rFonts w:ascii="黑体" w:hAnsi="黑体" w:eastAsia="黑体"/>
          <w:b/>
          <w:sz w:val="36"/>
          <w:szCs w:val="36"/>
        </w:rPr>
      </w:pPr>
      <w:bookmarkStart w:id="12" w:name="_Toc19827"/>
      <w:bookmarkStart w:id="13" w:name="_Toc32343"/>
      <w:r>
        <w:rPr>
          <w:rFonts w:ascii="黑体" w:hAnsi="黑体" w:eastAsia="黑体"/>
          <w:b/>
          <w:sz w:val="36"/>
          <w:szCs w:val="36"/>
        </w:rPr>
        <w:t>电气与信息工程学院专业简介</w:t>
      </w:r>
      <w:bookmarkEnd w:id="12"/>
      <w:bookmarkEnd w:id="13"/>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物联网工程</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物联网领域的基本理论、专业知识、专业技能和综合素养，主要面向物联网企业，能在移动通信、物联网系统应用以及嵌入式软硬件开发等行业从事设计、规划、生产、管理服务工作，培养成为基础理论扎实、实践能力强、综合素质高、具有创新创业精神和社会责任感的高素质应用型人才。</w:t>
      </w:r>
    </w:p>
    <w:p>
      <w:pPr>
        <w:widowControl/>
        <w:spacing w:line="500" w:lineRule="exact"/>
        <w:jc w:val="left"/>
        <w:rPr>
          <w:rFonts w:ascii="微软雅黑" w:hAnsi="微软雅黑" w:eastAsia="微软雅黑" w:cs="微软雅黑"/>
          <w:b/>
          <w:color w:val="323232"/>
          <w:sz w:val="28"/>
          <w:szCs w:val="28"/>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计算机科学与技术、信息与通信工程、电子科学与技术。</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（二）核心课程</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程序设计基础、数据结构、数据库系统、计算机组成、计算机网络、操作系统、物联网通信技术、电路、射频技术与传感器检测技术。</w:t>
      </w:r>
      <w:r>
        <w:rPr>
          <w:sz w:val="28"/>
          <w:szCs w:val="28"/>
        </w:rPr>
        <w:br w:type="page"/>
      </w:r>
    </w:p>
    <w:p>
      <w:pPr>
        <w:widowControl/>
        <w:jc w:val="center"/>
      </w:pPr>
      <w:r>
        <w:drawing>
          <wp:inline distT="0" distB="0" distL="0" distR="0">
            <wp:extent cx="2310765" cy="39624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2"/>
        <w:jc w:val="center"/>
        <w:rPr>
          <w:rFonts w:ascii="黑体" w:hAnsi="黑体" w:eastAsia="黑体"/>
          <w:b/>
          <w:sz w:val="36"/>
          <w:szCs w:val="36"/>
        </w:rPr>
      </w:pPr>
      <w:bookmarkStart w:id="14" w:name="_Toc27229"/>
      <w:bookmarkStart w:id="15" w:name="_Toc29064"/>
      <w:r>
        <w:rPr>
          <w:rFonts w:ascii="黑体" w:hAnsi="黑体" w:eastAsia="黑体"/>
          <w:b/>
          <w:sz w:val="36"/>
          <w:szCs w:val="36"/>
        </w:rPr>
        <w:t>电气与信息工程学院专业简介</w:t>
      </w:r>
      <w:bookmarkEnd w:id="14"/>
      <w:bookmarkEnd w:id="15"/>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数据科学与大数据技术</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数据科学与大数据技术专业的基础知识及应用知识，具有数据建模、数据高效分析与处理等专业能力和较强就业创业能力，能从事数据分析和大数据系统开发等工作的高素质应用型人才。</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计算机科学与技术、数学、统计学。</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（二）核心课程</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数据科学与大数据技术导论、基于Python的科学计算、关系数据库技术、分布式大数据处理技术与应用、软件工程、数据仓库与数据挖掘、大数据分析理论与实践、机器学习及其应用、非关系型数据库。</w:t>
      </w:r>
      <w:r>
        <w:rPr>
          <w:sz w:val="28"/>
          <w:szCs w:val="28"/>
        </w:rPr>
        <w:br w:type="page"/>
      </w:r>
    </w:p>
    <w:p>
      <w:pPr>
        <w:widowControl/>
        <w:jc w:val="center"/>
      </w:pPr>
      <w:r>
        <w:drawing>
          <wp:inline distT="0" distB="0" distL="0" distR="0">
            <wp:extent cx="2310765" cy="39624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2"/>
        <w:jc w:val="center"/>
        <w:rPr>
          <w:rFonts w:ascii="黑体" w:hAnsi="黑体" w:eastAsia="黑体"/>
          <w:b/>
          <w:sz w:val="36"/>
          <w:szCs w:val="36"/>
        </w:rPr>
      </w:pPr>
      <w:bookmarkStart w:id="16" w:name="_Toc8221"/>
      <w:bookmarkStart w:id="17" w:name="_Toc17449"/>
      <w:r>
        <w:rPr>
          <w:rFonts w:ascii="黑体" w:hAnsi="黑体" w:eastAsia="黑体"/>
          <w:b/>
          <w:sz w:val="36"/>
          <w:szCs w:val="36"/>
        </w:rPr>
        <w:t>电气与信息工程学院专业简介</w:t>
      </w:r>
      <w:bookmarkEnd w:id="16"/>
      <w:bookmarkEnd w:id="17"/>
    </w:p>
    <w:p>
      <w:pPr>
        <w:widowControl/>
        <w:jc w:val="center"/>
        <w:rPr>
          <w:rFonts w:ascii="黑体" w:eastAsia="黑体"/>
          <w:b/>
          <w:bCs/>
          <w:color w:val="000000" w:themeColor="text1"/>
          <w:w w:val="80"/>
          <w:sz w:val="44"/>
          <w:szCs w:val="44"/>
          <w14:textFill>
            <w14:solidFill>
              <w14:schemeClr w14:val="tx1"/>
            </w14:solidFill>
          </w14:textFill>
        </w:rPr>
      </w:pPr>
    </w:p>
    <w:p>
      <w:pPr>
        <w:widowControl/>
        <w:jc w:val="center"/>
        <w:rPr>
          <w:rFonts w:ascii="微软雅黑" w:hAnsi="微软雅黑" w:eastAsia="微软雅黑"/>
          <w:b/>
          <w:bCs/>
          <w:color w:val="000000" w:themeColor="text1"/>
          <w:w w:val="80"/>
          <w:sz w:val="30"/>
          <w:szCs w:val="30"/>
          <w14:textFill>
            <w14:solidFill>
              <w14:schemeClr w14:val="tx1"/>
            </w14:solidFill>
          </w14:textFill>
        </w:rPr>
      </w:pPr>
      <w:r>
        <w:rPr>
          <w:rFonts w:hint="eastAsia" w:ascii="微软雅黑" w:hAnsi="微软雅黑" w:eastAsia="微软雅黑"/>
          <w:b/>
          <w:bCs/>
          <w:color w:val="000000" w:themeColor="text1"/>
          <w:w w:val="80"/>
          <w:sz w:val="30"/>
          <w:szCs w:val="30"/>
          <w14:textFill>
            <w14:solidFill>
              <w14:schemeClr w14:val="tx1"/>
            </w14:solidFill>
          </w14:textFill>
        </w:rPr>
        <w:t>电子商务</w:t>
      </w:r>
    </w:p>
    <w:p>
      <w:pPr>
        <w:widowControl/>
        <w:spacing w:line="360" w:lineRule="exact"/>
        <w:rPr>
          <w:rFonts w:ascii="微软雅黑" w:hAnsi="微软雅黑" w:eastAsia="微软雅黑" w:cs="微软雅黑"/>
          <w:b/>
          <w:color w:val="323232"/>
          <w:sz w:val="22"/>
          <w:szCs w:val="22"/>
          <w:shd w:val="clear" w:color="auto" w:fill="FFFFFF"/>
        </w:rPr>
      </w:pPr>
    </w:p>
    <w:p>
      <w:pPr>
        <w:widowControl/>
        <w:spacing w:line="500" w:lineRule="exac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培养目标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本专业坚持立德树人、德育优先，培养爱党、爱国，有良好道德，勇于担当、视野宽阔、心态开放，基础理论实、专业技术精、实践能力强，德智体美劳全面发展，掌握自然科学和人文社科基础知识，掌握电子商务专业的基础知识及应用知识，具有较强实践、创新能力和就业创业能力，能在贸易及电子商务企业、金融机构、国家各级行政管理部门、教育及培训机构等单位从事电子商务的规划、运作管理、网络营销、行业研究、行业培训与咨询等工作的高素质应用型人才。</w:t>
      </w:r>
    </w:p>
    <w:p>
      <w:pPr>
        <w:widowControl/>
        <w:spacing w:line="500" w:lineRule="exact"/>
        <w:jc w:val="left"/>
        <w:rPr>
          <w:rFonts w:ascii="微软雅黑" w:hAnsi="微软雅黑" w:eastAsia="微软雅黑" w:cs="微软雅黑"/>
          <w:color w:val="323232"/>
          <w:sz w:val="28"/>
          <w:szCs w:val="28"/>
          <w:shd w:val="clear" w:color="auto" w:fill="FFFFFF"/>
        </w:rPr>
      </w:pPr>
    </w:p>
    <w:p>
      <w:pPr>
        <w:widowControl/>
        <w:spacing w:line="500" w:lineRule="exact"/>
        <w:jc w:val="left"/>
        <w:rPr>
          <w:rFonts w:ascii="微软雅黑" w:hAnsi="微软雅黑" w:eastAsia="微软雅黑" w:cs="微软雅黑"/>
          <w:b/>
          <w:color w:val="323232"/>
          <w:sz w:val="28"/>
          <w:szCs w:val="28"/>
          <w:shd w:val="clear" w:color="auto" w:fill="FFFFFF"/>
        </w:rPr>
      </w:pPr>
      <w:r>
        <w:rPr>
          <w:rFonts w:hint="eastAsia" w:ascii="微软雅黑" w:hAnsi="微软雅黑" w:eastAsia="微软雅黑" w:cs="微软雅黑"/>
          <w:b/>
          <w:color w:val="323232"/>
          <w:sz w:val="28"/>
          <w:szCs w:val="28"/>
          <w:shd w:val="clear" w:color="auto" w:fill="FFFFFF"/>
        </w:rPr>
        <w:t>主干学科与核心课程</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（一）主干学科</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管理学、经济学、计算机科学与技术</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（二）核心课程</w:t>
      </w:r>
    </w:p>
    <w:p>
      <w:pPr>
        <w:widowControl/>
        <w:spacing w:line="500" w:lineRule="exact"/>
        <w:ind w:firstLine="520" w:firstLineChars="200"/>
        <w:jc w:val="left"/>
        <w:rPr>
          <w:sz w:val="28"/>
          <w:szCs w:val="28"/>
        </w:rPr>
      </w:pPr>
      <w:r>
        <w:rPr>
          <w:rFonts w:hint="eastAsia" w:ascii="微软雅黑" w:hAnsi="微软雅黑" w:eastAsia="微软雅黑" w:cs="微软雅黑"/>
          <w:color w:val="323232"/>
          <w:sz w:val="26"/>
          <w:szCs w:val="26"/>
          <w:shd w:val="clear" w:color="auto" w:fill="FFFFFF"/>
        </w:rPr>
        <w:t>电子商务概论、网络营销、跨境电子商务、电子商务系统分析与设计、高级程序设计、计算机网络、网上银行与电子支付。</w:t>
      </w:r>
      <w:r>
        <w:rPr>
          <w:sz w:val="28"/>
          <w:szCs w:val="28"/>
        </w:rPr>
        <w:br w:type="page"/>
      </w:r>
    </w:p>
    <w:p>
      <w:pPr>
        <w:jc w:val="center"/>
        <w:rPr>
          <w:rFonts w:ascii="方正准圆简体" w:hAnsi="宋体" w:eastAsia="方正准圆简体" w:cs="宋体"/>
          <w:color w:val="000000" w:themeColor="text1"/>
          <w:sz w:val="18"/>
          <w:szCs w:val="18"/>
          <w:shd w:val="clear" w:color="auto" w:fill="FFFFFF"/>
          <w14:textFill>
            <w14:solidFill>
              <w14:schemeClr w14:val="tx1"/>
            </w14:solidFill>
          </w14:textFill>
        </w:rP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15" name="图片 15"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18" w:name="_Toc151656220"/>
      <w:r>
        <w:t>电气与信息工程学院</w:t>
      </w:r>
      <w:bookmarkStart w:id="19" w:name="_Toc151649376"/>
      <w:r>
        <w:t>2024届毕业生人数统计表</w:t>
      </w:r>
      <w:bookmarkEnd w:id="18"/>
      <w:bookmarkEnd w:id="19"/>
    </w:p>
    <w:p>
      <w:pPr>
        <w:jc w:val="center"/>
        <w:rPr>
          <w:rFonts w:ascii="黑体" w:eastAsia="黑体"/>
          <w:b/>
          <w:bCs/>
          <w:color w:val="000000" w:themeColor="text1"/>
          <w:w w:val="80"/>
          <w:sz w:val="44"/>
          <w:szCs w:val="44"/>
          <w14:textFill>
            <w14:solidFill>
              <w14:schemeClr w14:val="tx1"/>
            </w14:solidFill>
          </w14:textFill>
        </w:rPr>
      </w:pPr>
      <w:r>
        <w:rPr>
          <w:rFonts w:hint="eastAsia" w:ascii="黑体" w:eastAsia="黑体"/>
          <w:b/>
          <w:bCs/>
          <w:color w:val="000000" w:themeColor="text1"/>
          <w:w w:val="80"/>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-13335</wp:posOffset>
            </wp:positionH>
            <wp:positionV relativeFrom="paragraph">
              <wp:posOffset>103505</wp:posOffset>
            </wp:positionV>
            <wp:extent cx="5676900" cy="6542405"/>
            <wp:effectExtent l="0" t="0" r="0" b="0"/>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1"/>
                    <a:stretch>
                      <a:fillRect/>
                    </a:stretch>
                  </pic:blipFill>
                  <pic:spPr>
                    <a:xfrm>
                      <a:off x="0" y="0"/>
                      <a:ext cx="5684652" cy="6551500"/>
                    </a:xfrm>
                    <a:prstGeom prst="rect">
                      <a:avLst/>
                    </a:prstGeom>
                    <a:noFill/>
                    <a:ln>
                      <a:noFill/>
                    </a:ln>
                  </pic:spPr>
                </pic:pic>
              </a:graphicData>
            </a:graphic>
          </wp:anchor>
        </w:drawing>
      </w: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rPr>
          <w:rFonts w:ascii="黑体" w:eastAsia="黑体"/>
          <w:b/>
          <w:bCs/>
          <w:color w:val="000000" w:themeColor="text1"/>
          <w:w w:val="80"/>
          <w:sz w:val="44"/>
          <w:szCs w:val="44"/>
          <w14:textFill>
            <w14:solidFill>
              <w14:schemeClr w14:val="tx1"/>
            </w14:solidFill>
          </w14:textFill>
        </w:rP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17" name="图片 17"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20" w:name="_Toc151649377"/>
      <w:bookmarkStart w:id="21" w:name="_Toc151656221"/>
      <w:r>
        <w:t>2024届毕业生校园冬季专场招聘会参会嘉宾</w:t>
      </w:r>
      <w:bookmarkEnd w:id="20"/>
      <w:bookmarkEnd w:id="21"/>
    </w:p>
    <w:p>
      <w:pPr>
        <w:spacing w:line="520" w:lineRule="exact"/>
        <w:rPr>
          <w:rFonts w:ascii="黑体" w:hAnsi="黑体" w:eastAsia="黑体"/>
          <w:sz w:val="28"/>
          <w:szCs w:val="28"/>
        </w:rPr>
      </w:pPr>
    </w:p>
    <w:p>
      <w:pPr>
        <w:spacing w:line="520" w:lineRule="exact"/>
        <w:rPr>
          <w:rFonts w:ascii="黑体" w:hAnsi="黑体" w:eastAsia="黑体"/>
          <w:sz w:val="28"/>
          <w:szCs w:val="28"/>
        </w:rPr>
      </w:pPr>
      <w:r>
        <w:rPr>
          <w:rFonts w:hint="eastAsia" w:ascii="黑体" w:hAnsi="黑体" w:eastAsia="黑体"/>
          <w:sz w:val="28"/>
          <w:szCs w:val="28"/>
        </w:rPr>
        <w:t>一、企业单位代表</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广州市赛康尼机械设备有限公司             黄锦婷</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纳威尔（长沙）智能科技有限公司           陈  红</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广州易达包装设备有限公司                 袁婵喜</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北京易道云长沙信息技术研究院             胡  婷</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三亚酒店旅游行业协会                     胡小勇</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深圳市华星数字有限公司                   候  婷</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福州京东方光电科技有限公司               华  荣</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汉科软集团湖南软测科技有限公司           熊建华</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蓝思科技股份有限公司                     王  禹</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湖南慈鑫网络科技有限公司                 段小宝</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福建金德尚黄金有限公司                   陈馨雨</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特变电工衡阳变压器有限公司               林少龙</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湖南大象网络科技有限公司                 崔钰莉</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湖南科瑞特科技有限公司                   邓江南</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湖南皖湘科技有限公司                     王  罡</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福州海汇生物科技实业有限公司             吴君山</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厦门宝益科技有限公司                     杨大妹</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长沙六和汽车零部件有限公司               潘梦菲</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湖南网安基地科技有限公司                 颜  亮</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湘能楚天电力科技有限公司                 杨  佳</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衡阳雁峰区鸿泰广告设计公司               杨  争</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桂林君泰福电气有限公司                   王馨婕</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深圳市安科讯电子制造有限公司              周  舟</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惠州市德赛电池有限公司                    钟镇涛</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广州粤嵌通信科技股份有限公司湖南分公司    周  阳</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湖南校企招教育咨询管理公司                宋  军</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深圳市正德智控股份有限公司                唐志军</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衡阳市博远电子科技有限公司                管  军</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桂林广陆数字测控有限公司                  杜晓援</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湖南天雁机械股份有限公司                  张  静</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衡阳科技职业学院                          梁雪瑛</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湖南小波比网络科技有限公司                胡荣齐</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长沙金吾软件有限公司                      李宏芳</w:t>
      </w:r>
    </w:p>
    <w:p>
      <w:pPr>
        <w:jc w:val="center"/>
        <w:rPr>
          <w:rFonts w:ascii="黑体" w:hAnsi="黑体" w:eastAsia="黑体"/>
          <w:sz w:val="28"/>
          <w:szCs w:val="28"/>
        </w:rPr>
      </w:pPr>
    </w:p>
    <w:p>
      <w:pPr>
        <w:rPr>
          <w:rFonts w:ascii="黑体" w:hAnsi="黑体" w:eastAsia="黑体"/>
          <w:sz w:val="28"/>
          <w:szCs w:val="28"/>
        </w:rPr>
      </w:pPr>
      <w:r>
        <w:rPr>
          <w:rFonts w:hint="eastAsia" w:ascii="黑体" w:hAnsi="黑体" w:eastAsia="黑体"/>
          <w:sz w:val="28"/>
          <w:szCs w:val="28"/>
        </w:rPr>
        <w:t>二、学校代表</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 xml:space="preserve">副 校 长：余孟辉 </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 xml:space="preserve">招就处处长：宁平阳 </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宣传部部长：赵红深</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校团委书记：漆在林</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设备处处长：陈伟明</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后勤处处长：刘国祥</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保卫处处长：张高富</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电信学院院长：杨兵初</w:t>
      </w: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电信学院党总支书记：刘忠明</w:t>
      </w:r>
    </w:p>
    <w:p>
      <w:pPr>
        <w:jc w:val="center"/>
        <w:rPr>
          <w:rFonts w:ascii="楷体_GB2312" w:eastAsia="楷体_GB2312"/>
          <w:sz w:val="28"/>
          <w:szCs w:val="28"/>
        </w:rPr>
      </w:pPr>
    </w:p>
    <w:p>
      <w:pPr>
        <w:jc w:val="center"/>
      </w:pPr>
    </w:p>
    <w:p>
      <w:pPr>
        <w:jc w:val="center"/>
      </w:pPr>
    </w:p>
    <w:p>
      <w:pPr>
        <w:jc w:val="center"/>
      </w:pPr>
    </w:p>
    <w:p>
      <w:pPr>
        <w:jc w:val="center"/>
      </w:pPr>
    </w:p>
    <w:p>
      <w:pPr>
        <w:jc w:val="center"/>
      </w:pPr>
    </w:p>
    <w:p>
      <w:pPr>
        <w:jc w:val="center"/>
      </w:pP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6" name="图片 6"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22" w:name="_Toc151649378"/>
      <w:bookmarkStart w:id="23" w:name="_Toc151656222"/>
      <w:r>
        <w:t>2024届毕业生校园招聘会日程安排</w:t>
      </w:r>
      <w:bookmarkEnd w:id="22"/>
      <w:bookmarkEnd w:id="23"/>
    </w:p>
    <w:p>
      <w:pPr>
        <w:spacing w:before="156" w:beforeLines="50" w:after="156" w:afterLines="50"/>
        <w:jc w:val="center"/>
        <w:rPr>
          <w:rFonts w:ascii="楷体_GB2312" w:eastAsia="楷体_GB2312"/>
          <w:sz w:val="24"/>
        </w:rPr>
      </w:pPr>
      <w:r>
        <w:rPr>
          <w:rFonts w:hint="eastAsia" w:ascii="楷体_GB2312" w:eastAsia="楷体_GB2312"/>
          <w:sz w:val="24"/>
        </w:rPr>
        <w:t>（2023年11月25日）</w:t>
      </w:r>
    </w:p>
    <w:tbl>
      <w:tblPr>
        <w:tblStyle w:val="10"/>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2316"/>
        <w:gridCol w:w="185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2196" w:type="dxa"/>
            <w:vAlign w:val="center"/>
          </w:tcPr>
          <w:p>
            <w:pPr>
              <w:widowControl/>
              <w:jc w:val="center"/>
              <w:rPr>
                <w:rFonts w:ascii="黑体" w:eastAsia="黑体" w:hAnsiTheme="minorEastAsia"/>
                <w:sz w:val="28"/>
                <w:szCs w:val="28"/>
              </w:rPr>
            </w:pPr>
            <w:r>
              <w:rPr>
                <w:rFonts w:hint="eastAsia" w:ascii="黑体" w:eastAsia="黑体" w:hAnsiTheme="minorEastAsia"/>
                <w:sz w:val="28"/>
                <w:szCs w:val="28"/>
              </w:rPr>
              <w:t>时 间</w:t>
            </w:r>
          </w:p>
        </w:tc>
        <w:tc>
          <w:tcPr>
            <w:tcW w:w="2316" w:type="dxa"/>
            <w:vAlign w:val="center"/>
          </w:tcPr>
          <w:p>
            <w:pPr>
              <w:widowControl/>
              <w:jc w:val="center"/>
              <w:rPr>
                <w:rFonts w:ascii="黑体" w:eastAsia="黑体" w:hAnsiTheme="minorEastAsia"/>
                <w:sz w:val="28"/>
                <w:szCs w:val="28"/>
              </w:rPr>
            </w:pPr>
            <w:r>
              <w:rPr>
                <w:rFonts w:hint="eastAsia" w:ascii="黑体" w:eastAsia="黑体" w:hAnsiTheme="minorEastAsia"/>
                <w:sz w:val="28"/>
                <w:szCs w:val="28"/>
              </w:rPr>
              <w:t>内 容</w:t>
            </w:r>
          </w:p>
        </w:tc>
        <w:tc>
          <w:tcPr>
            <w:tcW w:w="1858" w:type="dxa"/>
            <w:vAlign w:val="center"/>
          </w:tcPr>
          <w:p>
            <w:pPr>
              <w:widowControl/>
              <w:jc w:val="center"/>
              <w:rPr>
                <w:rFonts w:ascii="黑体" w:eastAsia="黑体" w:hAnsiTheme="minorEastAsia"/>
                <w:sz w:val="28"/>
                <w:szCs w:val="28"/>
              </w:rPr>
            </w:pPr>
            <w:r>
              <w:rPr>
                <w:rFonts w:hint="eastAsia" w:ascii="黑体" w:eastAsia="黑体" w:hAnsiTheme="minorEastAsia"/>
                <w:sz w:val="28"/>
                <w:szCs w:val="28"/>
              </w:rPr>
              <w:t>地 点</w:t>
            </w:r>
          </w:p>
        </w:tc>
        <w:tc>
          <w:tcPr>
            <w:tcW w:w="1702" w:type="dxa"/>
            <w:vAlign w:val="center"/>
          </w:tcPr>
          <w:p>
            <w:pPr>
              <w:widowControl/>
              <w:jc w:val="center"/>
              <w:rPr>
                <w:rFonts w:ascii="黑体" w:eastAsia="黑体" w:hAnsiTheme="minorEastAsia"/>
                <w:sz w:val="28"/>
                <w:szCs w:val="28"/>
              </w:rPr>
            </w:pPr>
            <w:r>
              <w:rPr>
                <w:rFonts w:hint="eastAsia" w:ascii="黑体" w:eastAsia="黑体" w:hAnsiTheme="minorEastAsia"/>
                <w:sz w:val="28"/>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11月24日</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15时起</w:t>
            </w:r>
          </w:p>
        </w:tc>
        <w:tc>
          <w:tcPr>
            <w:tcW w:w="231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衡阳市以外招聘单位人员报到</w:t>
            </w:r>
          </w:p>
        </w:tc>
        <w:tc>
          <w:tcPr>
            <w:tcW w:w="1858" w:type="dxa"/>
            <w:vAlign w:val="center"/>
          </w:tcPr>
          <w:p>
            <w:pPr>
              <w:widowControl/>
              <w:jc w:val="center"/>
              <w:rPr>
                <w:rFonts w:asciiTheme="minorEastAsia" w:hAnsiTheme="minorEastAsia" w:eastAsiaTheme="minorEastAsia"/>
                <w:bCs/>
                <w:w w:val="90"/>
                <w:sz w:val="28"/>
                <w:szCs w:val="28"/>
                <w:shd w:val="clear" w:color="auto" w:fill="FFFFFF"/>
              </w:rPr>
            </w:pPr>
            <w:r>
              <w:rPr>
                <w:rFonts w:hint="eastAsia" w:asciiTheme="minorEastAsia" w:hAnsiTheme="minorEastAsia" w:eastAsiaTheme="minorEastAsia"/>
                <w:bCs/>
                <w:w w:val="90"/>
                <w:sz w:val="28"/>
                <w:szCs w:val="28"/>
                <w:shd w:val="clear" w:color="auto" w:fill="FFFFFF"/>
              </w:rPr>
              <w:t>创新主题酒店</w:t>
            </w:r>
          </w:p>
        </w:tc>
        <w:tc>
          <w:tcPr>
            <w:tcW w:w="1702"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王勋明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11月25日</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08∶00-09∶00</w:t>
            </w:r>
          </w:p>
        </w:tc>
        <w:tc>
          <w:tcPr>
            <w:tcW w:w="231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招聘单位签到</w:t>
            </w:r>
          </w:p>
        </w:tc>
        <w:tc>
          <w:tcPr>
            <w:tcW w:w="1858"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主席台签到</w:t>
            </w:r>
          </w:p>
        </w:tc>
        <w:tc>
          <w:tcPr>
            <w:tcW w:w="1702"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邓晶晶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11月25日</w:t>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09∶18-09∶48</w:t>
            </w:r>
          </w:p>
        </w:tc>
        <w:tc>
          <w:tcPr>
            <w:tcW w:w="2316"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招聘会开幕式</w:t>
            </w:r>
          </w:p>
        </w:tc>
        <w:tc>
          <w:tcPr>
            <w:tcW w:w="1858" w:type="dxa"/>
            <w:vMerge w:val="restart"/>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毛主席</w:t>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铜像广场</w:t>
            </w:r>
          </w:p>
        </w:tc>
        <w:tc>
          <w:tcPr>
            <w:tcW w:w="1702"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刘忠明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11月25日</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09∶48-12∶00</w:t>
            </w:r>
          </w:p>
        </w:tc>
        <w:tc>
          <w:tcPr>
            <w:tcW w:w="231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现场招聘、面试、签约</w:t>
            </w:r>
          </w:p>
        </w:tc>
        <w:tc>
          <w:tcPr>
            <w:tcW w:w="1858" w:type="dxa"/>
            <w:vMerge w:val="continue"/>
            <w:vAlign w:val="center"/>
          </w:tcPr>
          <w:p>
            <w:pPr>
              <w:jc w:val="center"/>
              <w:rPr>
                <w:rFonts w:asciiTheme="minorEastAsia" w:hAnsiTheme="minorEastAsia" w:eastAsiaTheme="minorEastAsia"/>
                <w:sz w:val="28"/>
                <w:szCs w:val="28"/>
              </w:rPr>
            </w:pPr>
          </w:p>
        </w:tc>
        <w:tc>
          <w:tcPr>
            <w:tcW w:w="1702" w:type="dxa"/>
            <w:vAlign w:val="center"/>
          </w:tcPr>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范双南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11月25日</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11∶30-12∶00</w:t>
            </w:r>
          </w:p>
        </w:tc>
        <w:tc>
          <w:tcPr>
            <w:tcW w:w="231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午 餐</w:t>
            </w:r>
          </w:p>
        </w:tc>
        <w:tc>
          <w:tcPr>
            <w:tcW w:w="1858"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展位</w:t>
            </w:r>
          </w:p>
        </w:tc>
        <w:tc>
          <w:tcPr>
            <w:tcW w:w="1702"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刘志林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exact"/>
          <w:jc w:val="center"/>
        </w:trPr>
        <w:tc>
          <w:tcPr>
            <w:tcW w:w="219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11月25日</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12∶30-16∶00</w:t>
            </w:r>
          </w:p>
        </w:tc>
        <w:tc>
          <w:tcPr>
            <w:tcW w:w="2316"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现场宣讲、面试、签约</w:t>
            </w:r>
          </w:p>
        </w:tc>
        <w:tc>
          <w:tcPr>
            <w:tcW w:w="1858"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教学楼</w:t>
            </w:r>
          </w:p>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六楼教室</w:t>
            </w:r>
          </w:p>
        </w:tc>
        <w:tc>
          <w:tcPr>
            <w:tcW w:w="1702" w:type="dxa"/>
            <w:vAlign w:val="center"/>
          </w:tcPr>
          <w:p>
            <w:pPr>
              <w:widowControl/>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吴 晖</w:t>
            </w:r>
          </w:p>
        </w:tc>
      </w:tr>
    </w:tbl>
    <w:p>
      <w:pPr>
        <w:jc w:val="center"/>
      </w:pPr>
    </w:p>
    <w:p>
      <w:pPr>
        <w:jc w:val="center"/>
      </w:pPr>
    </w:p>
    <w:p>
      <w:pPr>
        <w:jc w:val="center"/>
      </w:pPr>
    </w:p>
    <w:p>
      <w:pPr>
        <w:jc w:val="center"/>
      </w:pPr>
    </w:p>
    <w:p>
      <w:pPr>
        <w:jc w:val="center"/>
      </w:pP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7" name="图片 7"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24" w:name="_Toc151649379"/>
      <w:bookmarkStart w:id="25" w:name="_Toc151656223"/>
      <w:r>
        <w:t>2024届毕业生校园招聘会启动仪式议程</w:t>
      </w:r>
      <w:bookmarkEnd w:id="24"/>
      <w:bookmarkEnd w:id="25"/>
    </w:p>
    <w:p>
      <w:pPr>
        <w:spacing w:line="360" w:lineRule="auto"/>
        <w:rPr>
          <w:rFonts w:hint="eastAsia" w:ascii="黑体" w:eastAsia="黑体"/>
          <w:sz w:val="28"/>
          <w:szCs w:val="28"/>
        </w:rPr>
      </w:pPr>
    </w:p>
    <w:p>
      <w:pPr>
        <w:spacing w:line="360" w:lineRule="auto"/>
        <w:rPr>
          <w:rFonts w:ascii="楷体_GB2312" w:eastAsia="楷体_GB2312"/>
          <w:sz w:val="28"/>
          <w:szCs w:val="28"/>
        </w:rPr>
      </w:pPr>
      <w:r>
        <w:rPr>
          <w:rFonts w:hint="eastAsia" w:ascii="黑体" w:eastAsia="黑体"/>
          <w:sz w:val="28"/>
          <w:szCs w:val="28"/>
        </w:rPr>
        <w:t>时  间：</w:t>
      </w:r>
      <w:r>
        <w:rPr>
          <w:rFonts w:hint="eastAsia" w:ascii="楷体_GB2312" w:eastAsia="楷体_GB2312"/>
          <w:sz w:val="28"/>
          <w:szCs w:val="28"/>
        </w:rPr>
        <w:t>2023年11月25日上午09时18分</w:t>
      </w:r>
    </w:p>
    <w:p>
      <w:pPr>
        <w:spacing w:line="360" w:lineRule="auto"/>
        <w:rPr>
          <w:rFonts w:ascii="黑体" w:eastAsia="黑体"/>
          <w:sz w:val="28"/>
          <w:szCs w:val="28"/>
        </w:rPr>
      </w:pPr>
      <w:r>
        <w:rPr>
          <w:rFonts w:hint="eastAsia" w:ascii="黑体" w:eastAsia="黑体"/>
          <w:sz w:val="28"/>
          <w:szCs w:val="28"/>
        </w:rPr>
        <w:t>地  点：</w:t>
      </w:r>
      <w:r>
        <w:rPr>
          <w:rFonts w:hint="eastAsia" w:ascii="楷体_GB2312" w:eastAsia="楷体_GB2312"/>
          <w:sz w:val="28"/>
          <w:szCs w:val="28"/>
        </w:rPr>
        <w:t>毛主席铜像广场</w:t>
      </w:r>
    </w:p>
    <w:p>
      <w:pPr>
        <w:spacing w:line="360" w:lineRule="auto"/>
        <w:rPr>
          <w:rFonts w:ascii="黑体" w:eastAsia="黑体"/>
          <w:sz w:val="28"/>
          <w:szCs w:val="28"/>
        </w:rPr>
      </w:pPr>
      <w:r>
        <w:rPr>
          <w:rFonts w:hint="eastAsia" w:ascii="黑体" w:eastAsia="黑体"/>
          <w:sz w:val="28"/>
          <w:szCs w:val="28"/>
        </w:rPr>
        <w:t>主持人：</w:t>
      </w:r>
      <w:r>
        <w:rPr>
          <w:rFonts w:ascii="黑体" w:eastAsia="黑体"/>
          <w:sz w:val="28"/>
          <w:szCs w:val="28"/>
        </w:rPr>
        <w:t xml:space="preserve"> </w:t>
      </w:r>
      <w:r>
        <w:rPr>
          <w:rFonts w:hint="eastAsia" w:ascii="华文楷体" w:hAnsi="华文楷体" w:eastAsia="华文楷体"/>
          <w:sz w:val="28"/>
          <w:szCs w:val="28"/>
        </w:rPr>
        <w:t>刘忠明</w:t>
      </w:r>
    </w:p>
    <w:p>
      <w:pPr>
        <w:spacing w:line="360" w:lineRule="auto"/>
        <w:rPr>
          <w:rFonts w:ascii="黑体" w:eastAsia="黑体"/>
          <w:sz w:val="28"/>
          <w:szCs w:val="28"/>
        </w:rPr>
      </w:pPr>
      <w:r>
        <w:rPr>
          <w:rFonts w:hint="eastAsia" w:ascii="黑体" w:eastAsia="黑体"/>
          <w:sz w:val="28"/>
          <w:szCs w:val="28"/>
        </w:rPr>
        <w:t>议  程：</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一、刘忠明书记介绍参会嘉宾</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二、余孟辉副校长致欢迎词</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三、企业代表：</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特变电工股份有限公司 人力资源部 林部长 发言</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四、杨兵初院长讲话并宣布电气与信息工程学院2024届毕业生冬季校园招聘会现在开幕！</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五、招聘会启动仪式结束</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六、招聘活动正式开始</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9" name="图片 9"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outlineLvl w:val="9"/>
        <w:rPr>
          <w:rFonts w:hint="default"/>
        </w:rPr>
      </w:pPr>
      <w:bookmarkStart w:id="26" w:name="_Toc151656224"/>
      <w:r>
        <w:t>2024届毕业生校园冬季专场招聘会工作领导小组</w:t>
      </w:r>
      <w:bookmarkEnd w:id="26"/>
    </w:p>
    <w:p>
      <w:pPr>
        <w:pStyle w:val="8"/>
        <w:spacing w:before="0" w:beforeAutospacing="0" w:after="0" w:afterAutospacing="0" w:line="360" w:lineRule="auto"/>
        <w:ind w:firstLine="442" w:firstLineChars="200"/>
        <w:rPr>
          <w:rFonts w:ascii="黑体" w:hAnsi="黑体" w:eastAsia="黑体" w:cs="微软雅黑"/>
          <w:b/>
          <w:color w:val="323232"/>
          <w:sz w:val="22"/>
          <w:szCs w:val="22"/>
          <w:shd w:val="clear" w:color="auto" w:fill="FFFFFF"/>
        </w:rPr>
      </w:pPr>
    </w:p>
    <w:p>
      <w:pPr>
        <w:widowControl/>
        <w:spacing w:line="360" w:lineRule="auto"/>
        <w:ind w:firstLine="560" w:firstLineChars="200"/>
        <w:jc w:val="left"/>
        <w:rPr>
          <w:rFonts w:ascii="微软雅黑" w:hAnsi="微软雅黑" w:eastAsia="微软雅黑" w:cs="微软雅黑"/>
          <w:color w:val="323232"/>
          <w:sz w:val="26"/>
          <w:szCs w:val="26"/>
          <w:shd w:val="clear" w:color="auto" w:fill="FFFFFF"/>
        </w:rPr>
      </w:pPr>
      <w:r>
        <w:rPr>
          <w:rFonts w:ascii="黑体" w:eastAsia="黑体"/>
          <w:sz w:val="28"/>
          <w:szCs w:val="28"/>
        </w:rPr>
        <w:t>组</w:t>
      </w:r>
      <w:r>
        <w:rPr>
          <w:rFonts w:hint="eastAsia" w:ascii="黑体" w:eastAsia="黑体"/>
          <w:sz w:val="28"/>
          <w:szCs w:val="28"/>
        </w:rPr>
        <w:t> </w:t>
      </w:r>
      <w:r>
        <w:rPr>
          <w:rFonts w:ascii="黑体" w:eastAsia="黑体"/>
          <w:sz w:val="28"/>
          <w:szCs w:val="28"/>
        </w:rPr>
        <w:t xml:space="preserve"> </w:t>
      </w:r>
      <w:r>
        <w:rPr>
          <w:rFonts w:hint="eastAsia" w:ascii="黑体" w:eastAsia="黑体"/>
          <w:sz w:val="28"/>
          <w:szCs w:val="28"/>
        </w:rPr>
        <w:t xml:space="preserve"> </w:t>
      </w:r>
      <w:r>
        <w:rPr>
          <w:rFonts w:ascii="黑体" w:eastAsia="黑体"/>
          <w:sz w:val="28"/>
          <w:szCs w:val="28"/>
        </w:rPr>
        <w:t>长</w:t>
      </w:r>
      <w:r>
        <w:rPr>
          <w:rFonts w:ascii="微软雅黑" w:hAnsi="微软雅黑" w:eastAsia="微软雅黑" w:cs="微软雅黑"/>
          <w:color w:val="323232"/>
          <w:sz w:val="26"/>
          <w:szCs w:val="26"/>
          <w:shd w:val="clear" w:color="auto" w:fill="FFFFFF"/>
        </w:rPr>
        <w:t>：</w:t>
      </w:r>
      <w:r>
        <w:rPr>
          <w:rFonts w:hint="eastAsia" w:ascii="楷体_GB2312" w:eastAsia="楷体_GB2312"/>
          <w:sz w:val="28"/>
          <w:szCs w:val="28"/>
        </w:rPr>
        <w:t>杨兵初</w:t>
      </w:r>
      <w:r>
        <w:rPr>
          <w:rFonts w:hint="eastAsia" w:ascii="微软雅黑" w:hAnsi="微软雅黑" w:eastAsia="微软雅黑" w:cs="微软雅黑"/>
          <w:color w:val="323232"/>
          <w:sz w:val="26"/>
          <w:szCs w:val="26"/>
          <w:shd w:val="clear" w:color="auto" w:fill="FFFFFF"/>
        </w:rPr>
        <w:t xml:space="preserve">  </w:t>
      </w:r>
    </w:p>
    <w:p>
      <w:pPr>
        <w:widowControl/>
        <w:spacing w:line="360" w:lineRule="auto"/>
        <w:ind w:firstLine="560" w:firstLineChars="200"/>
        <w:jc w:val="left"/>
        <w:rPr>
          <w:rFonts w:ascii="微软雅黑" w:hAnsi="微软雅黑" w:eastAsia="微软雅黑" w:cs="微软雅黑"/>
          <w:color w:val="323232"/>
          <w:sz w:val="26"/>
          <w:szCs w:val="26"/>
          <w:shd w:val="clear" w:color="auto" w:fill="FFFFFF"/>
        </w:rPr>
      </w:pPr>
      <w:r>
        <w:rPr>
          <w:rFonts w:hint="eastAsia" w:ascii="黑体" w:eastAsia="黑体"/>
          <w:sz w:val="28"/>
          <w:szCs w:val="28"/>
        </w:rPr>
        <w:t>执行组</w:t>
      </w:r>
      <w:r>
        <w:rPr>
          <w:rFonts w:ascii="黑体" w:eastAsia="黑体"/>
          <w:sz w:val="28"/>
          <w:szCs w:val="28"/>
        </w:rPr>
        <w:t>长</w:t>
      </w:r>
      <w:r>
        <w:rPr>
          <w:rFonts w:ascii="微软雅黑" w:hAnsi="微软雅黑" w:eastAsia="微软雅黑" w:cs="微软雅黑"/>
          <w:color w:val="323232"/>
          <w:sz w:val="26"/>
          <w:szCs w:val="26"/>
          <w:shd w:val="clear" w:color="auto" w:fill="FFFFFF"/>
        </w:rPr>
        <w:t>：</w:t>
      </w:r>
      <w:r>
        <w:rPr>
          <w:rFonts w:hint="eastAsia" w:ascii="楷体_GB2312" w:eastAsia="楷体_GB2312"/>
          <w:sz w:val="28"/>
          <w:szCs w:val="28"/>
        </w:rPr>
        <w:t>刘忠明  宁平阳</w:t>
      </w:r>
    </w:p>
    <w:p>
      <w:pPr>
        <w:widowControl/>
        <w:spacing w:line="360" w:lineRule="auto"/>
        <w:ind w:firstLine="560" w:firstLineChars="200"/>
        <w:jc w:val="left"/>
        <w:rPr>
          <w:rFonts w:ascii="楷体_GB2312" w:eastAsia="楷体_GB2312"/>
          <w:sz w:val="28"/>
          <w:szCs w:val="28"/>
        </w:rPr>
      </w:pPr>
      <w:r>
        <w:rPr>
          <w:rFonts w:ascii="黑体" w:eastAsia="黑体"/>
          <w:sz w:val="28"/>
          <w:szCs w:val="28"/>
        </w:rPr>
        <w:t>副组长</w:t>
      </w:r>
      <w:r>
        <w:rPr>
          <w:rFonts w:ascii="微软雅黑" w:hAnsi="微软雅黑" w:eastAsia="微软雅黑" w:cs="微软雅黑"/>
          <w:color w:val="323232"/>
          <w:sz w:val="26"/>
          <w:szCs w:val="26"/>
          <w:shd w:val="clear" w:color="auto" w:fill="FFFFFF"/>
        </w:rPr>
        <w:t>：</w:t>
      </w:r>
      <w:r>
        <w:rPr>
          <w:rFonts w:hint="eastAsia" w:ascii="楷体_GB2312" w:eastAsia="楷体_GB2312"/>
          <w:sz w:val="28"/>
          <w:szCs w:val="28"/>
        </w:rPr>
        <w:t>范双南、曾平红、张敬会、赵红深、张高富、刘国祥、</w:t>
      </w:r>
    </w:p>
    <w:p>
      <w:pPr>
        <w:widowControl/>
        <w:spacing w:line="360" w:lineRule="auto"/>
        <w:ind w:firstLine="560" w:firstLineChars="200"/>
        <w:jc w:val="left"/>
        <w:rPr>
          <w:rFonts w:ascii="楷体_GB2312" w:eastAsia="楷体_GB2312"/>
          <w:sz w:val="28"/>
          <w:szCs w:val="28"/>
        </w:rPr>
      </w:pPr>
      <w:r>
        <w:rPr>
          <w:rFonts w:hint="eastAsia" w:ascii="楷体_GB2312" w:eastAsia="楷体_GB2312"/>
          <w:sz w:val="28"/>
          <w:szCs w:val="28"/>
        </w:rPr>
        <w:t>王勋明、廖显日</w:t>
      </w:r>
    </w:p>
    <w:p>
      <w:pPr>
        <w:widowControl/>
        <w:spacing w:line="360" w:lineRule="auto"/>
        <w:ind w:firstLine="560" w:firstLineChars="200"/>
        <w:jc w:val="left"/>
        <w:rPr>
          <w:rFonts w:ascii="楷体_GB2312" w:eastAsia="楷体_GB2312"/>
          <w:sz w:val="28"/>
          <w:szCs w:val="28"/>
        </w:rPr>
      </w:pPr>
      <w:r>
        <w:rPr>
          <w:rFonts w:ascii="黑体" w:eastAsia="黑体"/>
          <w:sz w:val="28"/>
          <w:szCs w:val="28"/>
        </w:rPr>
        <w:t>成 </w:t>
      </w:r>
      <w:r>
        <w:rPr>
          <w:rFonts w:hint="eastAsia" w:ascii="黑体" w:eastAsia="黑体"/>
          <w:sz w:val="28"/>
          <w:szCs w:val="28"/>
        </w:rPr>
        <w:t xml:space="preserve">  </w:t>
      </w:r>
      <w:r>
        <w:rPr>
          <w:rFonts w:ascii="黑体" w:eastAsia="黑体"/>
          <w:sz w:val="28"/>
          <w:szCs w:val="28"/>
        </w:rPr>
        <w:t>员</w:t>
      </w:r>
      <w:r>
        <w:rPr>
          <w:rFonts w:ascii="微软雅黑" w:hAnsi="微软雅黑" w:eastAsia="微软雅黑" w:cs="微软雅黑"/>
          <w:color w:val="323232"/>
          <w:sz w:val="26"/>
          <w:szCs w:val="26"/>
          <w:shd w:val="clear" w:color="auto" w:fill="FFFFFF"/>
        </w:rPr>
        <w:t>：</w:t>
      </w:r>
      <w:r>
        <w:rPr>
          <w:rFonts w:hint="eastAsia" w:ascii="楷体_GB2312" w:eastAsia="楷体_GB2312"/>
          <w:sz w:val="28"/>
          <w:szCs w:val="28"/>
        </w:rPr>
        <w:t>胡 涛、刘永超、陈晓锁、陈晓松、罗诗洁、张明初、</w:t>
      </w:r>
    </w:p>
    <w:p>
      <w:pPr>
        <w:widowControl/>
        <w:spacing w:line="360" w:lineRule="auto"/>
        <w:jc w:val="left"/>
        <w:rPr>
          <w:rFonts w:ascii="楷体_GB2312" w:eastAsia="楷体_GB2312"/>
          <w:sz w:val="28"/>
          <w:szCs w:val="28"/>
        </w:rPr>
      </w:pPr>
      <w:r>
        <w:rPr>
          <w:rFonts w:hint="eastAsia" w:ascii="楷体_GB2312" w:eastAsia="楷体_GB2312"/>
          <w:sz w:val="28"/>
          <w:szCs w:val="28"/>
        </w:rPr>
        <w:t>范芳东、邓晶晶、吴  晖、郭国智、刘志林、李永会、杨皓凯、陆伟霞、文金玉、谢佳鑫、李佳鸿、范  彪、陈受俊、谭  磊、陈  涛、贺益文、邓江林、蒋习姣、汤双辉</w:t>
      </w:r>
    </w:p>
    <w:p>
      <w:pPr>
        <w:widowControl/>
        <w:spacing w:line="500" w:lineRule="exact"/>
        <w:ind w:firstLine="560" w:firstLineChars="200"/>
        <w:jc w:val="left"/>
        <w:rPr>
          <w:rFonts w:ascii="楷体_GB2312" w:eastAsia="楷体_GB2312"/>
          <w:sz w:val="28"/>
          <w:szCs w:val="28"/>
        </w:rPr>
      </w:pP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ascii="微软雅黑" w:hAnsi="微软雅黑" w:eastAsia="微软雅黑" w:cs="微软雅黑"/>
          <w:color w:val="323232"/>
          <w:sz w:val="26"/>
          <w:szCs w:val="26"/>
          <w:shd w:val="clear" w:color="auto" w:fill="FFFFFF"/>
        </w:rPr>
        <w:br w:type="page"/>
      </w: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25" name="图片 25"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outlineLvl w:val="9"/>
        <w:rPr>
          <w:rFonts w:hint="default"/>
          <w:szCs w:val="28"/>
        </w:rPr>
      </w:pPr>
      <w:bookmarkStart w:id="27" w:name="_Toc151656225"/>
      <w:r>
        <w:t>2024届毕业生校园冬季专场招聘会工作领导小组通讯录</w:t>
      </w:r>
      <w:bookmarkEnd w:id="27"/>
    </w:p>
    <w:p>
      <w:pPr>
        <w:jc w:val="center"/>
      </w:pPr>
      <w:r>
        <w:drawing>
          <wp:anchor distT="0" distB="0" distL="114300" distR="114300" simplePos="0" relativeHeight="251660288" behindDoc="0" locked="0" layoutInCell="1" allowOverlap="1">
            <wp:simplePos x="0" y="0"/>
            <wp:positionH relativeFrom="column">
              <wp:posOffset>186690</wp:posOffset>
            </wp:positionH>
            <wp:positionV relativeFrom="paragraph">
              <wp:posOffset>27305</wp:posOffset>
            </wp:positionV>
            <wp:extent cx="5341620" cy="6324600"/>
            <wp:effectExtent l="0" t="0" r="0" b="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2"/>
                    <a:stretch>
                      <a:fillRect/>
                    </a:stretch>
                  </pic:blipFill>
                  <pic:spPr>
                    <a:xfrm>
                      <a:off x="0" y="0"/>
                      <a:ext cx="5341620" cy="6324600"/>
                    </a:xfrm>
                    <a:prstGeom prst="rect">
                      <a:avLst/>
                    </a:prstGeom>
                    <a:noFill/>
                    <a:ln>
                      <a:noFill/>
                    </a:ln>
                  </pic:spPr>
                </pic:pic>
              </a:graphicData>
            </a:graphic>
          </wp:anchor>
        </w:drawing>
      </w:r>
    </w:p>
    <w:p>
      <w:pPr>
        <w:jc w:val="center"/>
      </w:pPr>
    </w:p>
    <w:p>
      <w:pPr>
        <w:jc w:val="center"/>
      </w:pPr>
    </w:p>
    <w:p>
      <w:pPr>
        <w:jc w:val="center"/>
      </w:pPr>
    </w:p>
    <w:p/>
    <w:p/>
    <w:p/>
    <w:p/>
    <w:p/>
    <w:p/>
    <w:p/>
    <w:p/>
    <w:p/>
    <w:p/>
    <w:p/>
    <w:p/>
    <w:p/>
    <w:p/>
    <w:p/>
    <w:p/>
    <w:p/>
    <w:p/>
    <w:p/>
    <w:p>
      <w:pPr>
        <w:ind w:firstLine="400" w:firstLineChars="200"/>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p>
    <w:p>
      <w:pPr>
        <w:jc w:val="center"/>
        <w:rPr>
          <w:rFonts w:ascii="黑体" w:eastAsia="黑体"/>
          <w:b/>
          <w:bCs/>
          <w:w w:val="66"/>
          <w:sz w:val="36"/>
          <w:szCs w:val="36"/>
        </w:rP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43" name="图片 43"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字-蓝色"/>
                    <pic:cNvPicPr>
                      <a:picLocks noChangeAspect="1"/>
                    </pic:cNvPicPr>
                  </pic:nvPicPr>
                  <pic:blipFill>
                    <a:blip r:embed="rId9"/>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28" w:name="_Toc151656226"/>
      <w:r>
        <w:t>2024届毕业生校园招聘会各职能小组负责人</w:t>
      </w:r>
      <w:bookmarkEnd w:id="28"/>
    </w:p>
    <w:p>
      <w:pPr>
        <w:spacing w:line="240" w:lineRule="exact"/>
        <w:jc w:val="center"/>
      </w:pPr>
    </w:p>
    <w:p>
      <w:pPr>
        <w:ind w:firstLine="400" w:firstLineChars="200"/>
      </w:pPr>
    </w:p>
    <w:tbl>
      <w:tblPr>
        <w:tblStyle w:val="10"/>
        <w:tblW w:w="8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874"/>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126" w:type="dxa"/>
            <w:vAlign w:val="center"/>
          </w:tcPr>
          <w:p>
            <w:pPr>
              <w:jc w:val="center"/>
              <w:rPr>
                <w:b/>
                <w:bCs/>
                <w:sz w:val="26"/>
                <w:szCs w:val="26"/>
              </w:rPr>
            </w:pPr>
            <w:r>
              <w:rPr>
                <w:rFonts w:hint="eastAsia"/>
                <w:b/>
                <w:bCs/>
                <w:sz w:val="26"/>
                <w:szCs w:val="26"/>
              </w:rPr>
              <w:t>组名</w:t>
            </w:r>
          </w:p>
        </w:tc>
        <w:tc>
          <w:tcPr>
            <w:tcW w:w="1874" w:type="dxa"/>
            <w:vAlign w:val="center"/>
          </w:tcPr>
          <w:p>
            <w:pPr>
              <w:jc w:val="center"/>
              <w:rPr>
                <w:b/>
                <w:bCs/>
                <w:sz w:val="26"/>
                <w:szCs w:val="26"/>
              </w:rPr>
            </w:pPr>
            <w:r>
              <w:rPr>
                <w:rFonts w:hint="eastAsia"/>
                <w:b/>
                <w:bCs/>
                <w:sz w:val="26"/>
                <w:szCs w:val="26"/>
              </w:rPr>
              <w:t>组长及电话</w:t>
            </w:r>
          </w:p>
        </w:tc>
        <w:tc>
          <w:tcPr>
            <w:tcW w:w="4141" w:type="dxa"/>
            <w:vAlign w:val="center"/>
          </w:tcPr>
          <w:p>
            <w:pPr>
              <w:jc w:val="center"/>
              <w:rPr>
                <w:b/>
                <w:bCs/>
                <w:sz w:val="26"/>
                <w:szCs w:val="26"/>
              </w:rPr>
            </w:pPr>
            <w:r>
              <w:rPr>
                <w:rFonts w:hint="eastAsia"/>
                <w:b/>
                <w:bCs/>
                <w:sz w:val="26"/>
                <w:szCs w:val="26"/>
              </w:rPr>
              <w:t>副组长及成员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综合协调组</w:t>
            </w:r>
          </w:p>
        </w:tc>
        <w:tc>
          <w:tcPr>
            <w:tcW w:w="1874" w:type="dxa"/>
            <w:vAlign w:val="center"/>
          </w:tcPr>
          <w:p>
            <w:pPr>
              <w:jc w:val="center"/>
              <w:rPr>
                <w:rFonts w:ascii="宋体" w:hAnsi="宋体" w:cs="宋体"/>
                <w:sz w:val="26"/>
                <w:szCs w:val="26"/>
              </w:rPr>
            </w:pPr>
            <w:r>
              <w:rPr>
                <w:rFonts w:hint="eastAsia" w:ascii="宋体" w:hAnsi="宋体" w:cs="宋体"/>
                <w:sz w:val="26"/>
                <w:szCs w:val="26"/>
              </w:rPr>
              <w:t>张敬会</w:t>
            </w:r>
          </w:p>
          <w:p>
            <w:pPr>
              <w:jc w:val="center"/>
              <w:rPr>
                <w:rFonts w:ascii="宋体" w:hAnsi="宋体" w:cs="宋体"/>
                <w:b/>
                <w:sz w:val="26"/>
                <w:szCs w:val="26"/>
              </w:rPr>
            </w:pPr>
            <w:r>
              <w:rPr>
                <w:rFonts w:hint="eastAsia" w:ascii="宋体" w:hAnsi="宋体" w:cs="宋体"/>
                <w:b/>
                <w:sz w:val="26"/>
                <w:szCs w:val="26"/>
              </w:rPr>
              <w:t>18143361881</w:t>
            </w:r>
          </w:p>
        </w:tc>
        <w:tc>
          <w:tcPr>
            <w:tcW w:w="4141" w:type="dxa"/>
            <w:vAlign w:val="center"/>
          </w:tcPr>
          <w:p>
            <w:pPr>
              <w:jc w:val="center"/>
              <w:rPr>
                <w:rFonts w:ascii="宋体" w:hAnsi="宋体" w:cs="宋体"/>
                <w:sz w:val="26"/>
                <w:szCs w:val="26"/>
              </w:rPr>
            </w:pPr>
            <w:r>
              <w:rPr>
                <w:rFonts w:hint="eastAsia" w:ascii="宋体" w:hAnsi="宋体" w:cs="宋体"/>
                <w:sz w:val="26"/>
                <w:szCs w:val="26"/>
              </w:rPr>
              <w:t>谢佳鑫、李佳鸿、陈受俊、范 彪、谭 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招聘单位审核组</w:t>
            </w:r>
          </w:p>
        </w:tc>
        <w:tc>
          <w:tcPr>
            <w:tcW w:w="1874" w:type="dxa"/>
            <w:vAlign w:val="center"/>
          </w:tcPr>
          <w:p>
            <w:pPr>
              <w:jc w:val="center"/>
              <w:rPr>
                <w:rFonts w:ascii="宋体" w:hAnsi="宋体" w:cs="宋体"/>
                <w:sz w:val="26"/>
                <w:szCs w:val="26"/>
              </w:rPr>
            </w:pPr>
            <w:r>
              <w:rPr>
                <w:rFonts w:hint="eastAsia" w:ascii="宋体" w:hAnsi="宋体" w:cs="宋体"/>
                <w:sz w:val="26"/>
                <w:szCs w:val="26"/>
              </w:rPr>
              <w:t>范双南</w:t>
            </w:r>
          </w:p>
          <w:p>
            <w:pPr>
              <w:jc w:val="center"/>
              <w:rPr>
                <w:rFonts w:ascii="宋体" w:hAnsi="宋体" w:cs="宋体"/>
                <w:b/>
                <w:sz w:val="26"/>
                <w:szCs w:val="26"/>
              </w:rPr>
            </w:pPr>
            <w:r>
              <w:rPr>
                <w:rFonts w:hint="eastAsia" w:ascii="宋体" w:hAnsi="宋体" w:cs="宋体"/>
                <w:b/>
                <w:sz w:val="26"/>
                <w:szCs w:val="26"/>
              </w:rPr>
              <w:t>17507349528</w:t>
            </w:r>
          </w:p>
        </w:tc>
        <w:tc>
          <w:tcPr>
            <w:tcW w:w="4141" w:type="dxa"/>
            <w:vAlign w:val="center"/>
          </w:tcPr>
          <w:p>
            <w:pPr>
              <w:jc w:val="center"/>
              <w:rPr>
                <w:rFonts w:ascii="宋体" w:hAnsi="宋体" w:cs="宋体"/>
                <w:sz w:val="26"/>
                <w:szCs w:val="26"/>
              </w:rPr>
            </w:pPr>
            <w:r>
              <w:rPr>
                <w:rFonts w:hint="eastAsia" w:ascii="宋体" w:hAnsi="宋体" w:cs="宋体"/>
                <w:sz w:val="26"/>
                <w:szCs w:val="26"/>
              </w:rPr>
              <w:t>胡 涛、刘永超、陈晓锁、罗诗洁、</w:t>
            </w:r>
          </w:p>
          <w:p>
            <w:pPr>
              <w:jc w:val="center"/>
              <w:rPr>
                <w:rFonts w:ascii="宋体" w:hAnsi="宋体" w:cs="宋体"/>
                <w:sz w:val="26"/>
                <w:szCs w:val="26"/>
              </w:rPr>
            </w:pPr>
            <w:r>
              <w:rPr>
                <w:rFonts w:hint="eastAsia" w:ascii="宋体" w:hAnsi="宋体" w:cs="宋体"/>
                <w:sz w:val="26"/>
                <w:szCs w:val="26"/>
              </w:rPr>
              <w:t>陈晓松、张明初、范芳东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接待工作组</w:t>
            </w:r>
          </w:p>
        </w:tc>
        <w:tc>
          <w:tcPr>
            <w:tcW w:w="1874" w:type="dxa"/>
            <w:vAlign w:val="center"/>
          </w:tcPr>
          <w:p>
            <w:pPr>
              <w:jc w:val="center"/>
              <w:rPr>
                <w:rFonts w:ascii="宋体" w:hAnsi="宋体" w:cs="宋体"/>
                <w:sz w:val="26"/>
                <w:szCs w:val="26"/>
              </w:rPr>
            </w:pPr>
            <w:r>
              <w:rPr>
                <w:rFonts w:hint="eastAsia" w:ascii="宋体" w:hAnsi="宋体" w:cs="宋体"/>
                <w:sz w:val="26"/>
                <w:szCs w:val="26"/>
              </w:rPr>
              <w:t>邓晶晶</w:t>
            </w:r>
          </w:p>
          <w:p>
            <w:pPr>
              <w:jc w:val="center"/>
              <w:rPr>
                <w:rFonts w:ascii="宋体" w:hAnsi="宋体" w:cs="宋体"/>
                <w:b/>
                <w:sz w:val="26"/>
                <w:szCs w:val="26"/>
              </w:rPr>
            </w:pPr>
            <w:r>
              <w:rPr>
                <w:rFonts w:hint="eastAsia" w:ascii="宋体" w:hAnsi="宋体" w:cs="宋体"/>
                <w:b/>
                <w:sz w:val="26"/>
                <w:szCs w:val="26"/>
              </w:rPr>
              <w:t>18711477592</w:t>
            </w:r>
          </w:p>
        </w:tc>
        <w:tc>
          <w:tcPr>
            <w:tcW w:w="4141" w:type="dxa"/>
            <w:vAlign w:val="center"/>
          </w:tcPr>
          <w:p>
            <w:pPr>
              <w:jc w:val="center"/>
              <w:rPr>
                <w:rFonts w:ascii="宋体" w:hAnsi="宋体" w:cs="宋体"/>
                <w:sz w:val="26"/>
                <w:szCs w:val="26"/>
              </w:rPr>
            </w:pPr>
            <w:r>
              <w:rPr>
                <w:rFonts w:hint="eastAsia" w:ascii="宋体" w:hAnsi="宋体" w:cs="宋体"/>
                <w:sz w:val="26"/>
                <w:szCs w:val="26"/>
              </w:rPr>
              <w:t>陆伟霞、文金玉、谭磊、谢佳鑫、范 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学生管理组</w:t>
            </w:r>
          </w:p>
        </w:tc>
        <w:tc>
          <w:tcPr>
            <w:tcW w:w="1874" w:type="dxa"/>
            <w:vAlign w:val="center"/>
          </w:tcPr>
          <w:p>
            <w:pPr>
              <w:jc w:val="center"/>
              <w:rPr>
                <w:rFonts w:ascii="宋体" w:hAnsi="宋体" w:cs="宋体"/>
                <w:sz w:val="26"/>
                <w:szCs w:val="26"/>
              </w:rPr>
            </w:pPr>
            <w:r>
              <w:rPr>
                <w:rFonts w:hint="eastAsia" w:ascii="宋体" w:hAnsi="宋体" w:cs="宋体"/>
                <w:sz w:val="26"/>
                <w:szCs w:val="26"/>
              </w:rPr>
              <w:t>吴晖</w:t>
            </w:r>
          </w:p>
          <w:p>
            <w:pPr>
              <w:jc w:val="center"/>
              <w:rPr>
                <w:rFonts w:ascii="宋体" w:hAnsi="宋体" w:cs="宋体"/>
                <w:b/>
                <w:sz w:val="26"/>
                <w:szCs w:val="26"/>
              </w:rPr>
            </w:pPr>
            <w:r>
              <w:rPr>
                <w:rFonts w:hint="eastAsia" w:ascii="宋体" w:hAnsi="宋体" w:cs="宋体"/>
                <w:b/>
                <w:sz w:val="26"/>
                <w:szCs w:val="26"/>
              </w:rPr>
              <w:t>15874715501</w:t>
            </w:r>
          </w:p>
        </w:tc>
        <w:tc>
          <w:tcPr>
            <w:tcW w:w="4141" w:type="dxa"/>
            <w:vAlign w:val="center"/>
          </w:tcPr>
          <w:p>
            <w:pPr>
              <w:jc w:val="center"/>
              <w:rPr>
                <w:rFonts w:ascii="宋体" w:hAnsi="宋体" w:cs="宋体"/>
                <w:sz w:val="26"/>
                <w:szCs w:val="26"/>
              </w:rPr>
            </w:pPr>
            <w:r>
              <w:rPr>
                <w:rFonts w:hint="eastAsia" w:ascii="宋体" w:hAnsi="宋体" w:cs="宋体"/>
                <w:sz w:val="26"/>
                <w:szCs w:val="26"/>
              </w:rPr>
              <w:t>杨皓凯、陆伟霞、文金玉、谢佳鑫、</w:t>
            </w:r>
          </w:p>
          <w:p>
            <w:pPr>
              <w:jc w:val="center"/>
              <w:rPr>
                <w:rFonts w:ascii="宋体" w:hAnsi="宋体" w:cs="宋体"/>
                <w:sz w:val="26"/>
                <w:szCs w:val="26"/>
              </w:rPr>
            </w:pPr>
            <w:r>
              <w:rPr>
                <w:rFonts w:hint="eastAsia" w:ascii="宋体" w:hAnsi="宋体" w:cs="宋体"/>
                <w:sz w:val="26"/>
                <w:szCs w:val="26"/>
              </w:rPr>
              <w:t>李佳鸿、范彪、陈受俊、谭 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宣传报道组</w:t>
            </w:r>
          </w:p>
        </w:tc>
        <w:tc>
          <w:tcPr>
            <w:tcW w:w="1874" w:type="dxa"/>
            <w:vAlign w:val="center"/>
          </w:tcPr>
          <w:p>
            <w:pPr>
              <w:jc w:val="center"/>
              <w:rPr>
                <w:rFonts w:ascii="宋体" w:hAnsi="宋体" w:cs="宋体"/>
                <w:sz w:val="26"/>
                <w:szCs w:val="26"/>
              </w:rPr>
            </w:pPr>
            <w:r>
              <w:rPr>
                <w:rFonts w:hint="eastAsia" w:ascii="宋体" w:hAnsi="宋体" w:cs="宋体"/>
                <w:sz w:val="26"/>
                <w:szCs w:val="26"/>
              </w:rPr>
              <w:t>赵红深</w:t>
            </w:r>
          </w:p>
          <w:p>
            <w:pPr>
              <w:jc w:val="center"/>
              <w:rPr>
                <w:rFonts w:ascii="宋体" w:hAnsi="宋体" w:cs="宋体"/>
                <w:b/>
                <w:sz w:val="26"/>
                <w:szCs w:val="26"/>
              </w:rPr>
            </w:pPr>
            <w:r>
              <w:rPr>
                <w:rFonts w:hint="eastAsia" w:ascii="宋体" w:hAnsi="宋体" w:cs="宋体"/>
                <w:b/>
                <w:sz w:val="26"/>
                <w:szCs w:val="26"/>
              </w:rPr>
              <w:t>19974713939</w:t>
            </w:r>
          </w:p>
        </w:tc>
        <w:tc>
          <w:tcPr>
            <w:tcW w:w="4141" w:type="dxa"/>
            <w:vAlign w:val="center"/>
          </w:tcPr>
          <w:p>
            <w:pPr>
              <w:jc w:val="center"/>
              <w:rPr>
                <w:rFonts w:ascii="宋体" w:hAnsi="宋体" w:cs="宋体"/>
                <w:sz w:val="26"/>
                <w:szCs w:val="26"/>
              </w:rPr>
            </w:pPr>
            <w:r>
              <w:rPr>
                <w:rFonts w:hint="eastAsia" w:ascii="宋体" w:hAnsi="宋体" w:cs="宋体"/>
                <w:sz w:val="26"/>
                <w:szCs w:val="26"/>
              </w:rPr>
              <w:t>副组长：杨皓凯、陈 涛</w:t>
            </w:r>
          </w:p>
          <w:p>
            <w:pPr>
              <w:rPr>
                <w:rFonts w:hint="eastAsia" w:ascii="宋体" w:hAnsi="宋体" w:cs="宋体"/>
                <w:sz w:val="26"/>
                <w:szCs w:val="26"/>
              </w:rPr>
            </w:pPr>
            <w:r>
              <w:rPr>
                <w:rFonts w:hint="eastAsia" w:ascii="宋体" w:hAnsi="宋体" w:cs="宋体"/>
                <w:sz w:val="26"/>
                <w:szCs w:val="26"/>
              </w:rPr>
              <w:t>成</w:t>
            </w:r>
            <w:r>
              <w:rPr>
                <w:rFonts w:hint="eastAsia" w:ascii="宋体" w:hAnsi="宋体" w:cs="宋体"/>
                <w:sz w:val="26"/>
                <w:szCs w:val="26"/>
                <w:lang w:val="en-US" w:eastAsia="zh-CN"/>
              </w:rPr>
              <w:t>员：</w:t>
            </w:r>
            <w:r>
              <w:rPr>
                <w:rFonts w:hint="eastAsia" w:ascii="宋体" w:hAnsi="宋体" w:cs="宋体"/>
                <w:sz w:val="26"/>
                <w:szCs w:val="26"/>
              </w:rPr>
              <w:t>邓江林、王以琳、李美珍子、</w:t>
            </w:r>
          </w:p>
          <w:p>
            <w:pPr>
              <w:rPr>
                <w:rFonts w:ascii="宋体" w:hAnsi="宋体" w:cs="宋体"/>
                <w:sz w:val="26"/>
                <w:szCs w:val="26"/>
              </w:rPr>
            </w:pPr>
            <w:bookmarkStart w:id="81" w:name="_GoBack"/>
            <w:bookmarkEnd w:id="81"/>
            <w:r>
              <w:rPr>
                <w:rFonts w:hint="eastAsia" w:ascii="宋体" w:hAnsi="宋体" w:cs="宋体"/>
                <w:sz w:val="26"/>
                <w:szCs w:val="26"/>
              </w:rPr>
              <w:t>谢壬力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后勤保障组</w:t>
            </w:r>
          </w:p>
        </w:tc>
        <w:tc>
          <w:tcPr>
            <w:tcW w:w="1874" w:type="dxa"/>
            <w:vAlign w:val="center"/>
          </w:tcPr>
          <w:p>
            <w:pPr>
              <w:jc w:val="center"/>
              <w:rPr>
                <w:rFonts w:ascii="宋体" w:hAnsi="宋体" w:cs="宋体"/>
                <w:sz w:val="26"/>
                <w:szCs w:val="26"/>
              </w:rPr>
            </w:pPr>
            <w:r>
              <w:rPr>
                <w:rFonts w:hint="eastAsia" w:ascii="宋体" w:hAnsi="宋体" w:cs="宋体"/>
                <w:sz w:val="26"/>
                <w:szCs w:val="26"/>
              </w:rPr>
              <w:t>刘国祥</w:t>
            </w:r>
          </w:p>
          <w:p>
            <w:pPr>
              <w:jc w:val="center"/>
              <w:rPr>
                <w:rFonts w:ascii="宋体" w:hAnsi="宋体" w:cs="宋体"/>
                <w:b/>
                <w:sz w:val="26"/>
                <w:szCs w:val="26"/>
              </w:rPr>
            </w:pPr>
            <w:r>
              <w:rPr>
                <w:rFonts w:hint="eastAsia" w:ascii="宋体" w:hAnsi="宋体" w:cs="宋体"/>
                <w:b/>
                <w:sz w:val="26"/>
                <w:szCs w:val="26"/>
              </w:rPr>
              <w:t>18907347128</w:t>
            </w:r>
          </w:p>
        </w:tc>
        <w:tc>
          <w:tcPr>
            <w:tcW w:w="4141" w:type="dxa"/>
            <w:vAlign w:val="center"/>
          </w:tcPr>
          <w:p>
            <w:pPr>
              <w:jc w:val="center"/>
              <w:rPr>
                <w:rFonts w:ascii="宋体" w:hAnsi="宋体" w:cs="宋体"/>
                <w:sz w:val="26"/>
                <w:szCs w:val="26"/>
              </w:rPr>
            </w:pPr>
            <w:r>
              <w:rPr>
                <w:rFonts w:hint="eastAsia" w:ascii="宋体" w:hAnsi="宋体" w:cs="宋体"/>
                <w:sz w:val="26"/>
                <w:szCs w:val="26"/>
              </w:rPr>
              <w:t>副组长：郭国智、蒋习姣</w:t>
            </w:r>
          </w:p>
          <w:p>
            <w:pPr>
              <w:jc w:val="center"/>
              <w:rPr>
                <w:rFonts w:ascii="宋体" w:hAnsi="宋体" w:cs="宋体"/>
                <w:sz w:val="26"/>
                <w:szCs w:val="26"/>
              </w:rPr>
            </w:pPr>
            <w:r>
              <w:rPr>
                <w:rFonts w:hint="eastAsia" w:ascii="宋体" w:hAnsi="宋体" w:cs="宋体"/>
                <w:sz w:val="26"/>
                <w:szCs w:val="26"/>
              </w:rPr>
              <w:t>成  员：学院团总支学生干部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安全保卫组</w:t>
            </w:r>
          </w:p>
        </w:tc>
        <w:tc>
          <w:tcPr>
            <w:tcW w:w="1874" w:type="dxa"/>
            <w:vAlign w:val="center"/>
          </w:tcPr>
          <w:p>
            <w:pPr>
              <w:jc w:val="center"/>
              <w:rPr>
                <w:rFonts w:ascii="宋体" w:hAnsi="宋体" w:cs="宋体"/>
                <w:b/>
                <w:sz w:val="26"/>
                <w:szCs w:val="26"/>
              </w:rPr>
            </w:pPr>
            <w:r>
              <w:rPr>
                <w:rFonts w:hint="eastAsia" w:ascii="宋体" w:hAnsi="宋体" w:cs="宋体"/>
                <w:sz w:val="26"/>
                <w:szCs w:val="26"/>
              </w:rPr>
              <w:t>张高富</w:t>
            </w:r>
            <w:r>
              <w:rPr>
                <w:rFonts w:hint="eastAsia" w:ascii="宋体" w:hAnsi="宋体" w:cs="宋体"/>
                <w:b/>
                <w:sz w:val="26"/>
                <w:szCs w:val="26"/>
              </w:rPr>
              <w:t>13187200222</w:t>
            </w:r>
          </w:p>
        </w:tc>
        <w:tc>
          <w:tcPr>
            <w:tcW w:w="4141" w:type="dxa"/>
            <w:vAlign w:val="center"/>
          </w:tcPr>
          <w:p>
            <w:pPr>
              <w:jc w:val="center"/>
              <w:rPr>
                <w:rFonts w:ascii="宋体" w:hAnsi="宋体" w:cs="宋体"/>
                <w:sz w:val="26"/>
                <w:szCs w:val="26"/>
              </w:rPr>
            </w:pPr>
            <w:r>
              <w:rPr>
                <w:rFonts w:hint="eastAsia" w:ascii="宋体" w:hAnsi="宋体" w:cs="宋体"/>
                <w:sz w:val="26"/>
                <w:szCs w:val="26"/>
              </w:rPr>
              <w:t>副组长：李永会</w:t>
            </w:r>
          </w:p>
          <w:p>
            <w:pPr>
              <w:jc w:val="center"/>
              <w:rPr>
                <w:rFonts w:ascii="宋体" w:hAnsi="宋体" w:cs="宋体"/>
                <w:sz w:val="26"/>
                <w:szCs w:val="26"/>
              </w:rPr>
            </w:pPr>
            <w:r>
              <w:rPr>
                <w:rFonts w:hint="eastAsia" w:ascii="宋体" w:hAnsi="宋体" w:cs="宋体"/>
                <w:sz w:val="26"/>
                <w:szCs w:val="26"/>
              </w:rPr>
              <w:t>成员：保卫处全体成员及老兵连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exact"/>
          <w:jc w:val="center"/>
        </w:trPr>
        <w:tc>
          <w:tcPr>
            <w:tcW w:w="2126" w:type="dxa"/>
            <w:vAlign w:val="center"/>
          </w:tcPr>
          <w:p>
            <w:pPr>
              <w:jc w:val="center"/>
              <w:rPr>
                <w:rFonts w:ascii="宋体" w:hAnsi="宋体" w:cs="宋体"/>
                <w:sz w:val="26"/>
                <w:szCs w:val="26"/>
              </w:rPr>
            </w:pPr>
            <w:r>
              <w:rPr>
                <w:rFonts w:hint="eastAsia" w:ascii="宋体" w:hAnsi="宋体" w:cs="宋体"/>
                <w:sz w:val="26"/>
                <w:szCs w:val="26"/>
              </w:rPr>
              <w:t>餐饮服务组</w:t>
            </w:r>
          </w:p>
        </w:tc>
        <w:tc>
          <w:tcPr>
            <w:tcW w:w="1874" w:type="dxa"/>
            <w:vAlign w:val="center"/>
          </w:tcPr>
          <w:p>
            <w:pPr>
              <w:jc w:val="center"/>
              <w:rPr>
                <w:rFonts w:ascii="宋体" w:hAnsi="宋体" w:cs="宋体"/>
                <w:sz w:val="26"/>
                <w:szCs w:val="26"/>
              </w:rPr>
            </w:pPr>
            <w:r>
              <w:rPr>
                <w:rFonts w:hint="eastAsia" w:ascii="宋体" w:hAnsi="宋体" w:cs="宋体"/>
                <w:sz w:val="26"/>
                <w:szCs w:val="26"/>
              </w:rPr>
              <w:t>刘志林</w:t>
            </w:r>
          </w:p>
          <w:p>
            <w:pPr>
              <w:jc w:val="center"/>
              <w:rPr>
                <w:rFonts w:ascii="宋体" w:hAnsi="宋体" w:cs="宋体"/>
                <w:b/>
                <w:sz w:val="26"/>
                <w:szCs w:val="26"/>
              </w:rPr>
            </w:pPr>
            <w:r>
              <w:rPr>
                <w:rFonts w:hint="eastAsia" w:ascii="宋体" w:hAnsi="宋体" w:cs="宋体"/>
                <w:b/>
                <w:sz w:val="26"/>
                <w:szCs w:val="26"/>
              </w:rPr>
              <w:t>18692048413</w:t>
            </w:r>
          </w:p>
        </w:tc>
        <w:tc>
          <w:tcPr>
            <w:tcW w:w="4141" w:type="dxa"/>
            <w:vAlign w:val="center"/>
          </w:tcPr>
          <w:p>
            <w:pPr>
              <w:jc w:val="center"/>
              <w:rPr>
                <w:rFonts w:ascii="宋体" w:hAnsi="宋体" w:cs="宋体"/>
                <w:sz w:val="26"/>
                <w:szCs w:val="26"/>
              </w:rPr>
            </w:pPr>
            <w:r>
              <w:rPr>
                <w:rFonts w:hint="eastAsia" w:ascii="宋体" w:hAnsi="宋体" w:cs="宋体"/>
                <w:sz w:val="26"/>
                <w:szCs w:val="26"/>
              </w:rPr>
              <w:t>副组长：贺益文、汤双辉</w:t>
            </w:r>
          </w:p>
          <w:p>
            <w:pPr>
              <w:jc w:val="center"/>
              <w:rPr>
                <w:rFonts w:ascii="宋体" w:hAnsi="宋体" w:cs="宋体"/>
                <w:sz w:val="26"/>
                <w:szCs w:val="26"/>
              </w:rPr>
            </w:pPr>
            <w:r>
              <w:rPr>
                <w:rFonts w:hint="eastAsia" w:ascii="宋体" w:hAnsi="宋体" w:cs="宋体"/>
                <w:sz w:val="26"/>
                <w:szCs w:val="26"/>
              </w:rPr>
              <w:t>成  员：院学生会志愿者</w:t>
            </w:r>
          </w:p>
        </w:tc>
      </w:tr>
    </w:tbl>
    <w:p>
      <w:pPr>
        <w:sectPr>
          <w:footerReference r:id="rId4" w:type="default"/>
          <w:pgSz w:w="11907" w:h="16840"/>
          <w:pgMar w:top="1418" w:right="1418" w:bottom="1418" w:left="1701" w:header="851" w:footer="992" w:gutter="0"/>
          <w:pgNumType w:start="1"/>
          <w:cols w:space="425" w:num="1"/>
          <w:docGrid w:type="lines" w:linePitch="312" w:charSpace="0"/>
        </w:sectPr>
      </w:pPr>
    </w:p>
    <w:p>
      <w:pPr>
        <w:jc w:val="center"/>
      </w:pPr>
      <w:r>
        <w:rPr>
          <w:rFonts w:hint="eastAsia"/>
        </w:rPr>
        <w:drawing>
          <wp:inline distT="0" distB="0" distL="114300" distR="114300">
            <wp:extent cx="2268220" cy="374650"/>
            <wp:effectExtent l="0" t="0" r="17780" b="6350"/>
            <wp:docPr id="5" name="图片 5"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字-蓝色"/>
                    <pic:cNvPicPr>
                      <a:picLocks noChangeAspect="1"/>
                    </pic:cNvPicPr>
                  </pic:nvPicPr>
                  <pic:blipFill>
                    <a:blip r:embed="rId9"/>
                    <a:srcRect l="6538" t="15292" r="5190" b="15918"/>
                    <a:stretch>
                      <a:fillRect/>
                    </a:stretch>
                  </pic:blipFill>
                  <pic:spPr>
                    <a:xfrm>
                      <a:off x="0" y="0"/>
                      <a:ext cx="2268220" cy="374650"/>
                    </a:xfrm>
                    <a:prstGeom prst="rect">
                      <a:avLst/>
                    </a:prstGeom>
                    <a:noFill/>
                    <a:ln w="9525">
                      <a:noFill/>
                    </a:ln>
                  </pic:spPr>
                </pic:pic>
              </a:graphicData>
            </a:graphic>
          </wp:inline>
        </w:drawing>
      </w:r>
    </w:p>
    <w:p>
      <w:pPr>
        <w:pStyle w:val="18"/>
        <w:rPr>
          <w:rFonts w:hint="default"/>
        </w:rPr>
      </w:pPr>
      <w:bookmarkStart w:id="29" w:name="_Toc151649380"/>
      <w:bookmarkStart w:id="30" w:name="_Toc151656227"/>
      <w:r>
        <w:t>2024届毕业生校园招聘会招聘单位及招聘专业一览表</w:t>
      </w:r>
      <w:bookmarkEnd w:id="29"/>
      <w:bookmarkEnd w:id="30"/>
    </w:p>
    <w:p>
      <w:pPr>
        <w:jc w:val="center"/>
        <w:rPr>
          <w:rFonts w:ascii="楷体_GB2312" w:eastAsia="楷体_GB2312"/>
          <w:sz w:val="28"/>
          <w:szCs w:val="28"/>
        </w:rPr>
      </w:pPr>
      <w:r>
        <w:rPr>
          <w:rFonts w:hint="eastAsia" w:ascii="楷体_GB2312" w:eastAsia="楷体_GB2312"/>
          <w:sz w:val="28"/>
          <w:szCs w:val="28"/>
        </w:rPr>
        <w:t>（排名不分先后）</w:t>
      </w:r>
    </w:p>
    <w:tbl>
      <w:tblPr>
        <w:tblStyle w:val="9"/>
        <w:tblW w:w="5070" w:type="pct"/>
        <w:tblInd w:w="0" w:type="dxa"/>
        <w:tblLayout w:type="fixed"/>
        <w:tblCellMar>
          <w:top w:w="0" w:type="dxa"/>
          <w:left w:w="108" w:type="dxa"/>
          <w:bottom w:w="0" w:type="dxa"/>
          <w:right w:w="108" w:type="dxa"/>
        </w:tblCellMar>
      </w:tblPr>
      <w:tblGrid>
        <w:gridCol w:w="1374"/>
        <w:gridCol w:w="4971"/>
        <w:gridCol w:w="5955"/>
        <w:gridCol w:w="1831"/>
      </w:tblGrid>
      <w:tr>
        <w:tblPrEx>
          <w:tblCellMar>
            <w:top w:w="0" w:type="dxa"/>
            <w:left w:w="108" w:type="dxa"/>
            <w:bottom w:w="0" w:type="dxa"/>
            <w:right w:w="108" w:type="dxa"/>
          </w:tblCellMar>
        </w:tblPrEx>
        <w:trPr>
          <w:trHeight w:val="397" w:hRule="atLeast"/>
          <w:tblHeader/>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Calibri" w:hAnsi="Calibri" w:cs="Calibri"/>
                <w:b/>
                <w:bCs/>
                <w:color w:val="000000"/>
                <w:sz w:val="22"/>
                <w:szCs w:val="22"/>
              </w:rPr>
            </w:pPr>
            <w:r>
              <w:rPr>
                <w:rFonts w:ascii="Calibri" w:hAnsi="Calibri" w:cs="Calibri"/>
                <w:b/>
                <w:bCs/>
                <w:color w:val="000000"/>
                <w:sz w:val="22"/>
                <w:szCs w:val="22"/>
                <w:lang w:bidi="ar"/>
              </w:rPr>
              <w:t>展位号</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Calibri" w:hAnsi="Calibri" w:cs="Calibri"/>
                <w:b/>
                <w:bCs/>
                <w:color w:val="000000"/>
                <w:sz w:val="22"/>
                <w:szCs w:val="22"/>
              </w:rPr>
            </w:pPr>
            <w:r>
              <w:rPr>
                <w:rFonts w:ascii="Calibri" w:hAnsi="Calibri" w:cs="Calibri"/>
                <w:b/>
                <w:bCs/>
                <w:color w:val="000000"/>
                <w:sz w:val="22"/>
                <w:szCs w:val="22"/>
                <w:lang w:bidi="ar"/>
              </w:rPr>
              <w:t>单位名称</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Calibri" w:hAnsi="Calibri" w:cs="Calibri"/>
                <w:b/>
                <w:bCs/>
                <w:color w:val="000000"/>
                <w:sz w:val="22"/>
                <w:szCs w:val="22"/>
                <w:lang w:bidi="ar"/>
              </w:rPr>
            </w:pPr>
            <w:r>
              <w:rPr>
                <w:rFonts w:hint="eastAsia" w:ascii="Calibri" w:hAnsi="Calibri" w:cs="Calibri"/>
                <w:b/>
                <w:bCs/>
                <w:color w:val="000000"/>
                <w:sz w:val="22"/>
                <w:szCs w:val="22"/>
                <w:lang w:bidi="ar"/>
              </w:rPr>
              <w:t>招聘专业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Calibri" w:hAnsi="Calibri" w:cs="Calibri"/>
                <w:b/>
                <w:bCs/>
                <w:color w:val="000000"/>
                <w:sz w:val="22"/>
                <w:szCs w:val="22"/>
                <w:lang w:bidi="ar"/>
              </w:rPr>
            </w:pPr>
            <w:r>
              <w:rPr>
                <w:rFonts w:hint="eastAsia" w:ascii="Calibri" w:hAnsi="Calibri" w:cs="Calibri"/>
                <w:b/>
                <w:bCs/>
                <w:color w:val="000000"/>
                <w:sz w:val="22"/>
                <w:szCs w:val="22"/>
                <w:lang w:bidi="ar"/>
              </w:rPr>
              <w:t>备注</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广州市赛康尼机械设备有限公司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电气工程及其自动化、</w:t>
            </w:r>
          </w:p>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电子信息工程、电子商务</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纳威尔（长沙）智能科技有限公司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广州易达包装设备有限公司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电子商务、电子信息工程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北京易道云长沙信息技术研究院</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三亚酒店旅游行业协会</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电子商务</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深圳市华星数字有限公司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电气工程及其自动化、电子信息工程、软件工程、电子商务</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福州京东方光电科技有限公司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汉科软集团湖南软测科技有限公司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A009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蓝思科技股份有限公司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电气工程、电子信息工程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湖南慈鑫网络科技有限公司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福建金德尚黄金有限公司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特变电工衡阳变压器有限公司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湖南大象网络科技有限公司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湖南科瑞特科技有限公司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电气工程、电子信息工程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湖南皖湘科技有限公司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福州海汇生物科技实业有限公司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厦门宝益科技有限公司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长沙六和汽车零部件有限公司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A019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湖南网安基地科技有限公司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湘能楚天电力科技有限公司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衡阳雁峰区鸿泰广告设计公司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软件工程、环境艺术设计</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桂林君泰福电气有限公司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深圳市安科讯电子制造有限公司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惠州市德赛电池有限公司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广州粤嵌通信科技股份有限公司湖南分公司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湖南校企招教育咨询管理公司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A027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深圳市正德智控股份有限公司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电气工程、软件工程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A028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衡阳市博远电子科技有限公司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A029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桂林广陆数字测控有限公司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电气工程、电子信息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30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湖南天雁机械股份有限公司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工科专业不限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31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衡阳科技职业学院</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专业为限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32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湖南小波比网络科技有限公司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软件工程、物联网工程、计算机网络技术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33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长沙金吾软件有限公司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软件工程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现场招聘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A03</w:t>
            </w:r>
            <w:r>
              <w:rPr>
                <w:rFonts w:hint="eastAsia" w:ascii="微软雅黑" w:hAnsi="微软雅黑" w:eastAsia="微软雅黑" w:cs="微软雅黑"/>
                <w:color w:val="323232"/>
                <w:sz w:val="22"/>
                <w:szCs w:val="22"/>
                <w:shd w:val="clear" w:color="auto" w:fill="FFFFFF"/>
              </w:rPr>
              <w:t>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江西省通讯终端产业技术研究院有限公司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A03</w:t>
            </w:r>
            <w:r>
              <w:rPr>
                <w:rFonts w:hint="eastAsia" w:ascii="微软雅黑" w:hAnsi="微软雅黑" w:eastAsia="微软雅黑" w:cs="微软雅黑"/>
                <w:color w:val="323232"/>
                <w:sz w:val="22"/>
                <w:szCs w:val="22"/>
                <w:shd w:val="clear" w:color="auto" w:fill="FFFFFF"/>
              </w:rPr>
              <w:t>5</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福州拓宇环球智能科技有限公司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电气工程、电子信息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A03</w:t>
            </w:r>
            <w:r>
              <w:rPr>
                <w:rFonts w:hint="eastAsia" w:ascii="微软雅黑" w:hAnsi="微软雅黑" w:eastAsia="微软雅黑" w:cs="微软雅黑"/>
                <w:color w:val="323232"/>
                <w:sz w:val="22"/>
                <w:szCs w:val="22"/>
                <w:shd w:val="clear" w:color="auto" w:fill="FFFFFF"/>
              </w:rPr>
              <w:t>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上海希形科技有限公司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A037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福州万德电气有限公司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38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福州大东海集团有限公司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A03</w:t>
            </w:r>
            <w:r>
              <w:rPr>
                <w:rFonts w:hint="eastAsia" w:ascii="微软雅黑" w:hAnsi="微软雅黑" w:eastAsia="微软雅黑" w:cs="微软雅黑"/>
                <w:color w:val="323232"/>
                <w:sz w:val="22"/>
                <w:szCs w:val="22"/>
                <w:shd w:val="clear" w:color="auto" w:fill="FFFFFF"/>
              </w:rPr>
              <w:t>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福州福大自动化科技有限公司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自动化专业、电气工程、软件工程</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40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长沙长家宽网络服务有限公司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计算机网络技术</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t>A0</w:t>
            </w:r>
            <w:r>
              <w:rPr>
                <w:rFonts w:hint="eastAsia" w:ascii="微软雅黑" w:hAnsi="微软雅黑" w:eastAsia="微软雅黑" w:cs="微软雅黑"/>
                <w:color w:val="323232"/>
                <w:sz w:val="22"/>
                <w:szCs w:val="22"/>
                <w:shd w:val="clear" w:color="auto" w:fill="FFFFFF"/>
              </w:rPr>
              <w:t>41</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江苏三恒科技股份有限公司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工科专业不限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A042</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仁智云（广州）大数据科技有限公司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A043</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长沙破晓电子商务有限公司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软件工程、电子商务</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A044</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永州伍子醉科技发展有限公司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专业不限</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A046</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福州坤彩科技有限公司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电气自动化、电子信息、计算机类专业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A047</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长沙市中一制药机械有限公司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电气工程、电气自动化</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A048</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东莞联茂电子科技有限公司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A049</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宁波阿尔卑斯电子科技有限公司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电子信息类专业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r>
        <w:tblPrEx>
          <w:tblCellMar>
            <w:top w:w="0" w:type="dxa"/>
            <w:left w:w="108" w:type="dxa"/>
            <w:bottom w:w="0" w:type="dxa"/>
            <w:right w:w="108" w:type="dxa"/>
          </w:tblCellMar>
        </w:tblPrEx>
        <w:trPr>
          <w:trHeight w:val="227" w:hRule="atLeast"/>
        </w:trPr>
        <w:tc>
          <w:tcPr>
            <w:tcW w:w="4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A050</w:t>
            </w:r>
          </w:p>
        </w:tc>
        <w:tc>
          <w:tcPr>
            <w:tcW w:w="1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绿盟科技集团股份有限公司</w:t>
            </w:r>
          </w:p>
        </w:tc>
        <w:tc>
          <w:tcPr>
            <w:tcW w:w="2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计算机类专业</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线上招聘</w:t>
            </w:r>
          </w:p>
        </w:tc>
      </w:tr>
    </w:tbl>
    <w:p>
      <w:pPr>
        <w:jc w:val="center"/>
      </w:pPr>
    </w:p>
    <w:p>
      <w:pPr>
        <w:jc w:val="center"/>
      </w:pPr>
    </w:p>
    <w:p>
      <w:pPr>
        <w:jc w:val="center"/>
        <w:sectPr>
          <w:pgSz w:w="16838" w:h="11905" w:orient="landscape"/>
          <w:pgMar w:top="1417" w:right="1417" w:bottom="1417" w:left="1701" w:header="851" w:footer="992" w:gutter="0"/>
          <w:cols w:space="0" w:num="1"/>
          <w:docGrid w:type="lines" w:linePitch="312" w:charSpace="0"/>
        </w:sectPr>
      </w:pPr>
    </w:p>
    <w:p>
      <w:pPr>
        <w:jc w:val="center"/>
      </w:pPr>
      <w:r>
        <w:drawing>
          <wp:inline distT="0" distB="0" distL="0" distR="0">
            <wp:extent cx="2310765" cy="3962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pStyle w:val="18"/>
        <w:rPr>
          <w:rFonts w:hint="default"/>
        </w:rPr>
      </w:pPr>
      <w:bookmarkStart w:id="31" w:name="_Toc151656228"/>
      <w:bookmarkStart w:id="32" w:name="_Toc32658"/>
      <w:r>
        <w:t>招聘企业简介</w:t>
      </w:r>
      <w:bookmarkEnd w:id="31"/>
    </w:p>
    <w:p>
      <w:pPr>
        <w:jc w:val="center"/>
        <w:rPr>
          <w:rFonts w:ascii="黑体" w:hAnsi="黑体" w:eastAsia="黑体"/>
          <w:b/>
          <w:bCs/>
          <w:color w:val="000000" w:themeColor="text1"/>
          <w:w w:val="80"/>
          <w:sz w:val="36"/>
          <w:szCs w:val="36"/>
          <w14:textFill>
            <w14:solidFill>
              <w14:schemeClr w14:val="tx1"/>
            </w14:solidFill>
          </w14:textFill>
        </w:rPr>
      </w:pPr>
      <w:r>
        <w:rPr>
          <w:rFonts w:ascii="黑体" w:hAnsi="黑体" w:eastAsia="黑体"/>
          <w:b/>
          <w:bCs/>
          <w:color w:val="000000" w:themeColor="text1"/>
          <w:w w:val="80"/>
          <w:sz w:val="36"/>
          <w:szCs w:val="36"/>
          <w14:textFill>
            <w14:solidFill>
              <w14:schemeClr w14:val="tx1"/>
            </w14:solidFill>
          </w14:textFill>
        </w:rPr>
        <w:t>广州市赛康尼机械设备有限公司</w:t>
      </w:r>
      <w:bookmarkEnd w:id="32"/>
    </w:p>
    <w:p>
      <w:pPr>
        <w:pStyle w:val="2"/>
        <w:jc w:val="center"/>
        <w:outlineLvl w:val="0"/>
        <w:rPr>
          <w:rFonts w:ascii="黑体" w:hAnsi="黑体" w:eastAsia="黑体"/>
          <w:b/>
          <w:bCs/>
          <w:color w:val="000000" w:themeColor="text1"/>
          <w:w w:val="80"/>
          <w:sz w:val="36"/>
          <w:szCs w:val="36"/>
          <w14:textFill>
            <w14:solidFill>
              <w14:schemeClr w14:val="tx1"/>
            </w14:solidFill>
          </w14:textFill>
        </w:rPr>
      </w:pPr>
      <w:bookmarkStart w:id="33" w:name="_Toc151649381"/>
      <w:r>
        <w:rPr>
          <w:rFonts w:ascii="黑体" w:hAnsi="黑体" w:eastAsia="黑体"/>
          <w:b/>
          <w:bCs/>
          <w:color w:val="000000" w:themeColor="text1"/>
          <w:w w:val="80"/>
          <w:sz w:val="36"/>
          <w:szCs w:val="36"/>
          <w14:textFill>
            <w14:solidFill>
              <w14:schemeClr w14:val="tx1"/>
            </w14:solidFill>
          </w14:textFill>
        </w:rPr>
        <w:t>企业简介</w:t>
      </w:r>
      <w:bookmarkEnd w:id="33"/>
    </w:p>
    <w:p>
      <w:pPr>
        <w:widowControl/>
        <w:jc w:val="left"/>
      </w:pP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广州市赛康尼机械设备有限公司是集生产、开发、销售于一体的高新技术企业，公司专注于开发及生产高、中档工业用途的自动贴标设备和包装设备以及灌装设备；汇集了贴标设备、包装设备以及灌装设备等多个方面的市场销售，技术和管理的专家，并对自动贴标设备和包装设备以及灌装设备进行了大量的研究开发、改进，积累了丰富的实践经验，建立了完善的销售、生产、服务体系，制造出众多一流的设备，产品广泛应用于医药、食品、日化、化工、电子、信息等各行业。</w:t>
      </w:r>
    </w:p>
    <w:p>
      <w:pPr>
        <w:widowControl/>
        <w:spacing w:line="500" w:lineRule="exact"/>
        <w:ind w:firstLine="560" w:firstLineChars="200"/>
        <w:jc w:val="left"/>
        <w:rPr>
          <w:sz w:val="28"/>
          <w:szCs w:val="28"/>
        </w:rPr>
      </w:pPr>
      <w:r>
        <w:rPr>
          <w:sz w:val="28"/>
          <w:szCs w:val="28"/>
        </w:rPr>
        <w:br w:type="page"/>
      </w:r>
    </w:p>
    <w:p>
      <w:pPr>
        <w:jc w:val="center"/>
      </w:pPr>
      <w:r>
        <w:drawing>
          <wp:inline distT="0" distB="0" distL="0" distR="0">
            <wp:extent cx="2310765" cy="396240"/>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34" w:name="_Toc26791"/>
      <w:r>
        <w:rPr>
          <w:rFonts w:ascii="黑体" w:hAnsi="黑体" w:eastAsia="黑体"/>
          <w:b/>
          <w:bCs/>
          <w:color w:val="000000" w:themeColor="text1"/>
          <w:w w:val="80"/>
          <w:sz w:val="36"/>
          <w:szCs w:val="36"/>
          <w14:textFill>
            <w14:solidFill>
              <w14:schemeClr w14:val="tx1"/>
            </w14:solidFill>
          </w14:textFill>
        </w:rPr>
        <w:t>纳威尔（长沙）智能科技有限公司</w:t>
      </w:r>
      <w:bookmarkEnd w:id="34"/>
    </w:p>
    <w:p>
      <w:pPr>
        <w:jc w:val="center"/>
        <w:rPr>
          <w:rFonts w:ascii="黑体" w:hAnsi="黑体" w:eastAsia="黑体"/>
          <w:b/>
          <w:bCs/>
          <w:color w:val="000000" w:themeColor="text1"/>
          <w:w w:val="80"/>
          <w:sz w:val="36"/>
          <w:szCs w:val="36"/>
          <w14:textFill>
            <w14:solidFill>
              <w14:schemeClr w14:val="tx1"/>
            </w14:solidFill>
          </w14:textFill>
        </w:rPr>
      </w:pPr>
      <w:bookmarkStart w:id="35" w:name="_Toc18080"/>
      <w:r>
        <w:rPr>
          <w:rFonts w:ascii="黑体" w:hAnsi="黑体" w:eastAsia="黑体"/>
          <w:b/>
          <w:bCs/>
          <w:color w:val="000000" w:themeColor="text1"/>
          <w:w w:val="80"/>
          <w:sz w:val="36"/>
          <w:szCs w:val="36"/>
          <w14:textFill>
            <w14:solidFill>
              <w14:schemeClr w14:val="tx1"/>
            </w14:solidFill>
          </w14:textFill>
        </w:rPr>
        <w:t>企业简介</w:t>
      </w:r>
      <w:bookmarkEnd w:id="35"/>
    </w:p>
    <w:p>
      <w:pPr>
        <w:widowControl/>
        <w:spacing w:line="500" w:lineRule="exact"/>
        <w:ind w:firstLine="480" w:firstLineChars="200"/>
        <w:jc w:val="left"/>
        <w:rPr>
          <w:rFonts w:ascii="微软雅黑" w:hAnsi="微软雅黑" w:eastAsia="微软雅黑" w:cs="微软雅黑"/>
          <w:color w:val="323232"/>
          <w:sz w:val="24"/>
          <w:szCs w:val="24"/>
          <w:shd w:val="clear" w:color="auto" w:fill="FFFFFF"/>
        </w:rPr>
      </w:pPr>
    </w:p>
    <w:p>
      <w:pPr>
        <w:widowControl/>
        <w:spacing w:line="500" w:lineRule="exact"/>
        <w:ind w:firstLine="520" w:firstLineChars="200"/>
        <w:jc w:val="left"/>
      </w:pPr>
      <w:r>
        <w:rPr>
          <w:rFonts w:hint="eastAsia" w:ascii="微软雅黑" w:hAnsi="微软雅黑" w:eastAsia="微软雅黑" w:cs="微软雅黑"/>
          <w:color w:val="323232"/>
          <w:sz w:val="26"/>
          <w:szCs w:val="26"/>
          <w:shd w:val="clear" w:color="auto" w:fill="FFFFFF"/>
        </w:rPr>
        <w:t>纳威尔（长沙）智能科技有限公司，是一家专注于机器视觉检测整体解决方案研发、生产和销售的科技型企业。核心团队在包装机械和视觉检测领域经验丰富，并与国内多所知名高校建立紧密的“产学研”合作，技术积淀深厚，研发实力强劲。 经过多年的努力，公司已自主开发出具国际先进水平的机器视觉积木式算法库，具备产品缺陷检测、OCV/OCR识别、视觉定位、几何尺寸测量、视觉跟踪等功能，并创造性地将高性能运算和深度学习技术应用到视觉检测中，可为客户提供卓越的视觉检测整体解决方案。</w:t>
      </w:r>
      <w:r>
        <w:br w:type="page"/>
      </w:r>
    </w:p>
    <w:p>
      <w:pPr>
        <w:jc w:val="center"/>
      </w:pPr>
      <w:r>
        <w:drawing>
          <wp:inline distT="0" distB="0" distL="0" distR="0">
            <wp:extent cx="2310765" cy="3962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36" w:name="_Toc9124"/>
      <w:r>
        <w:rPr>
          <w:rFonts w:ascii="黑体" w:hAnsi="黑体" w:eastAsia="黑体"/>
          <w:b/>
          <w:bCs/>
          <w:color w:val="000000" w:themeColor="text1"/>
          <w:w w:val="80"/>
          <w:sz w:val="36"/>
          <w:szCs w:val="36"/>
          <w14:textFill>
            <w14:solidFill>
              <w14:schemeClr w14:val="tx1"/>
            </w14:solidFill>
          </w14:textFill>
        </w:rPr>
        <w:t>广州易达包装设备有限公司</w:t>
      </w:r>
      <w:bookmarkEnd w:id="36"/>
    </w:p>
    <w:p>
      <w:pPr>
        <w:jc w:val="center"/>
        <w:rPr>
          <w:rFonts w:ascii="黑体" w:hAnsi="黑体" w:eastAsia="黑体"/>
          <w:b/>
          <w:bCs/>
          <w:color w:val="000000" w:themeColor="text1"/>
          <w:w w:val="80"/>
          <w:sz w:val="36"/>
          <w:szCs w:val="36"/>
          <w14:textFill>
            <w14:solidFill>
              <w14:schemeClr w14:val="tx1"/>
            </w14:solidFill>
          </w14:textFill>
        </w:rPr>
      </w:pPr>
      <w:bookmarkStart w:id="37" w:name="_Toc10493"/>
      <w:r>
        <w:rPr>
          <w:rFonts w:ascii="黑体" w:hAnsi="黑体" w:eastAsia="黑体"/>
          <w:b/>
          <w:bCs/>
          <w:color w:val="000000" w:themeColor="text1"/>
          <w:w w:val="80"/>
          <w:sz w:val="36"/>
          <w:szCs w:val="36"/>
          <w14:textFill>
            <w14:solidFill>
              <w14:schemeClr w14:val="tx1"/>
            </w14:solidFill>
          </w14:textFill>
        </w:rPr>
        <w:t>企业简介</w:t>
      </w:r>
      <w:bookmarkEnd w:id="37"/>
    </w:p>
    <w:p>
      <w:pPr>
        <w:widowControl/>
        <w:jc w:val="left"/>
      </w:pPr>
    </w:p>
    <w:p>
      <w:pPr>
        <w:widowControl/>
        <w:spacing w:line="50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广州易达包装设备有限公司（简称：易达公司）成立于2006年，是广州珐玛珈智能设备股份有限公司全资子公司，拥有 EC-JET(易码)、FOMONE（锋芒）等多个品牌。作为国内标识行业的领先企业之一，公司以第一起草人身份主导制定《连续式喷码机》(GB/T29017-2012)国家标准和参与制定《 溯源二维码赋码系统（一物一码）》（T/GDFPMA 04-2021）团体标准；同时公司获得ISO9001 、ISO14001、ISO45001等体系认证。</w:t>
      </w:r>
    </w:p>
    <w:p>
      <w:pPr>
        <w:widowControl/>
        <w:spacing w:line="50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易达公司产品包括小字符喷码机、大字符喷码机、激光喷码机、高解析喷码机、检测设备及喷码机相关耗材。公司拥有业内领先的自主核心技术和可持续研发能力，致力于为各行业提供专业解决方案，为客户的可持续发展创造更大价值。</w:t>
      </w:r>
    </w:p>
    <w:p>
      <w:pPr>
        <w:widowControl/>
        <w:spacing w:line="50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易达公司总部设立于广州，在国内多个城市、海外100多个国家和地区，建立合作营销体系和服务网点；各网点均配备专业人员，为用户提供优质、高效的综合服务。</w:t>
      </w:r>
    </w:p>
    <w:p>
      <w:pPr>
        <w:jc w:val="center"/>
      </w:pPr>
      <w:r>
        <w:drawing>
          <wp:inline distT="0" distB="0" distL="0" distR="0">
            <wp:extent cx="2310765" cy="39624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38" w:name="_Toc52"/>
      <w:r>
        <w:rPr>
          <w:rFonts w:ascii="黑体" w:hAnsi="黑体" w:eastAsia="黑体"/>
          <w:b/>
          <w:bCs/>
          <w:color w:val="000000" w:themeColor="text1"/>
          <w:w w:val="80"/>
          <w:sz w:val="36"/>
          <w:szCs w:val="36"/>
          <w14:textFill>
            <w14:solidFill>
              <w14:schemeClr w14:val="tx1"/>
            </w14:solidFill>
          </w14:textFill>
        </w:rPr>
        <w:t>三亚旅游酒店行业协会</w:t>
      </w:r>
      <w:bookmarkEnd w:id="38"/>
    </w:p>
    <w:p>
      <w:pPr>
        <w:jc w:val="center"/>
        <w:rPr>
          <w:rFonts w:ascii="黑体" w:hAnsi="黑体" w:eastAsia="黑体"/>
          <w:b/>
          <w:bCs/>
          <w:color w:val="000000" w:themeColor="text1"/>
          <w:w w:val="80"/>
          <w:sz w:val="36"/>
          <w:szCs w:val="36"/>
          <w14:textFill>
            <w14:solidFill>
              <w14:schemeClr w14:val="tx1"/>
            </w14:solidFill>
          </w14:textFill>
        </w:rPr>
      </w:pPr>
      <w:bookmarkStart w:id="39" w:name="_Toc20342"/>
      <w:r>
        <w:rPr>
          <w:rFonts w:ascii="黑体" w:hAnsi="黑体" w:eastAsia="黑体"/>
          <w:b/>
          <w:bCs/>
          <w:color w:val="000000" w:themeColor="text1"/>
          <w:w w:val="80"/>
          <w:sz w:val="36"/>
          <w:szCs w:val="36"/>
          <w14:textFill>
            <w14:solidFill>
              <w14:schemeClr w14:val="tx1"/>
            </w14:solidFill>
          </w14:textFill>
        </w:rPr>
        <w:t>企业简介</w:t>
      </w:r>
      <w:bookmarkEnd w:id="39"/>
    </w:p>
    <w:p>
      <w:pPr>
        <w:jc w:val="center"/>
        <w:rPr>
          <w:rFonts w:ascii="黑体" w:hAnsi="黑体" w:eastAsia="黑体"/>
          <w:b/>
          <w:bCs/>
          <w:color w:val="000000" w:themeColor="text1"/>
          <w:w w:val="80"/>
          <w:sz w:val="36"/>
          <w:szCs w:val="36"/>
          <w14:textFill>
            <w14:solidFill>
              <w14:schemeClr w14:val="tx1"/>
            </w14:solidFill>
          </w14:textFill>
        </w:rPr>
      </w:pPr>
    </w:p>
    <w:p>
      <w:pPr>
        <w:widowControl/>
        <w:spacing w:line="50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三亚旅游酒店行业协会是大三亚区的旅游酒店、酒店管理公司、海外旅游市场运营商、网络旅游销售运营商和交通旅游服务运营商等相关单位自愿结成的专业性、非营利性、具有独立法人资格的地方性社会组织，于2019年4月正式成立，目前拥有三亚市各个区域及其他大三亚区域的不同类型、不同规模的酒店会员近186家，其中副会长单位33家，理事单位35家，会员单位118家；包括挂牌五星级酒店16家，豪华酒店（五星级标准）60家，挂牌四星级酒店15家，舒适型酒店（四星级标准）95家；分别分布在四大湾区和市区，海棠湾酒店25家，亚龙湾酒店23家，大东海酒店20家，三亚湾酒店43家，市区酒店75家。</w:t>
      </w:r>
    </w:p>
    <w:p>
      <w:pPr>
        <w:jc w:val="center"/>
      </w:pPr>
    </w:p>
    <w:p>
      <w:pPr>
        <w:jc w:val="center"/>
      </w:pPr>
    </w:p>
    <w:p>
      <w:pPr>
        <w:jc w:val="center"/>
      </w:pPr>
      <w:r>
        <w:drawing>
          <wp:inline distT="0" distB="0" distL="0" distR="0">
            <wp:extent cx="2310765" cy="39624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40" w:name="_Toc748"/>
      <w:r>
        <w:rPr>
          <w:rFonts w:ascii="黑体" w:hAnsi="黑体" w:eastAsia="黑体"/>
          <w:b/>
          <w:bCs/>
          <w:color w:val="000000" w:themeColor="text1"/>
          <w:w w:val="80"/>
          <w:sz w:val="36"/>
          <w:szCs w:val="36"/>
          <w14:textFill>
            <w14:solidFill>
              <w14:schemeClr w14:val="tx1"/>
            </w14:solidFill>
          </w14:textFill>
        </w:rPr>
        <w:t>深圳市华星数字有限公司</w:t>
      </w:r>
      <w:bookmarkEnd w:id="40"/>
    </w:p>
    <w:p>
      <w:pPr>
        <w:jc w:val="center"/>
        <w:rPr>
          <w:rFonts w:ascii="黑体" w:hAnsi="黑体" w:eastAsia="黑体"/>
          <w:b/>
          <w:bCs/>
          <w:color w:val="000000" w:themeColor="text1"/>
          <w:w w:val="80"/>
          <w:sz w:val="36"/>
          <w:szCs w:val="36"/>
          <w14:textFill>
            <w14:solidFill>
              <w14:schemeClr w14:val="tx1"/>
            </w14:solidFill>
          </w14:textFill>
        </w:rPr>
      </w:pPr>
      <w:bookmarkStart w:id="41" w:name="_Toc25868"/>
      <w:r>
        <w:rPr>
          <w:rFonts w:ascii="黑体" w:hAnsi="黑体" w:eastAsia="黑体"/>
          <w:b/>
          <w:bCs/>
          <w:color w:val="000000" w:themeColor="text1"/>
          <w:w w:val="80"/>
          <w:sz w:val="36"/>
          <w:szCs w:val="36"/>
          <w14:textFill>
            <w14:solidFill>
              <w14:schemeClr w14:val="tx1"/>
            </w14:solidFill>
          </w14:textFill>
        </w:rPr>
        <w:t>企业简介</w:t>
      </w:r>
      <w:bookmarkEnd w:id="41"/>
    </w:p>
    <w:p>
      <w:pPr>
        <w:jc w:val="center"/>
        <w:rPr>
          <w:rFonts w:ascii="黑体" w:hAnsi="黑体" w:eastAsia="黑体"/>
          <w:b/>
          <w:bCs/>
          <w:color w:val="000000" w:themeColor="text1"/>
          <w:w w:val="80"/>
          <w:sz w:val="36"/>
          <w:szCs w:val="36"/>
          <w14:textFill>
            <w14:solidFill>
              <w14:schemeClr w14:val="tx1"/>
            </w14:solidFill>
          </w14:textFill>
        </w:rPr>
      </w:pP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深圳市华星数字有限公司成立于2016年，主要生产数字电视机顶盒和电脑周边配件USB、HUB、扩展坞类产品，公司具有资深的研发团队，先进的生产设备，专业的技术人员，优秀的管理人才及经营理念，生产厂房3000余平米，员工200多人，年销售额3.5亿元，是集产品研发、生产、销售于一体的高新技术企业。</w:t>
      </w:r>
    </w:p>
    <w:p>
      <w:pPr>
        <w:widowControl/>
        <w:jc w:val="left"/>
      </w:pPr>
      <w:r>
        <w:br w:type="page"/>
      </w:r>
    </w:p>
    <w:p>
      <w:pPr>
        <w:jc w:val="center"/>
      </w:pPr>
      <w:r>
        <w:drawing>
          <wp:inline distT="0" distB="0" distL="0" distR="0">
            <wp:extent cx="2310765" cy="3962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42" w:name="_Toc26776"/>
      <w:r>
        <w:rPr>
          <w:rFonts w:ascii="黑体" w:hAnsi="黑体" w:eastAsia="黑体"/>
          <w:b/>
          <w:bCs/>
          <w:color w:val="000000" w:themeColor="text1"/>
          <w:w w:val="80"/>
          <w:sz w:val="36"/>
          <w:szCs w:val="36"/>
          <w14:textFill>
            <w14:solidFill>
              <w14:schemeClr w14:val="tx1"/>
            </w14:solidFill>
          </w14:textFill>
        </w:rPr>
        <w:t>福州京东方光电科技有限公司</w:t>
      </w:r>
      <w:bookmarkEnd w:id="42"/>
    </w:p>
    <w:p>
      <w:pPr>
        <w:jc w:val="center"/>
        <w:rPr>
          <w:rFonts w:ascii="黑体" w:hAnsi="黑体" w:eastAsia="黑体"/>
          <w:b/>
          <w:bCs/>
          <w:color w:val="000000" w:themeColor="text1"/>
          <w:w w:val="80"/>
          <w:sz w:val="36"/>
          <w:szCs w:val="36"/>
          <w14:textFill>
            <w14:solidFill>
              <w14:schemeClr w14:val="tx1"/>
            </w14:solidFill>
          </w14:textFill>
        </w:rPr>
      </w:pPr>
      <w:bookmarkStart w:id="43" w:name="_Toc16863"/>
      <w:r>
        <w:rPr>
          <w:rFonts w:ascii="黑体" w:hAnsi="黑体" w:eastAsia="黑体"/>
          <w:b/>
          <w:bCs/>
          <w:color w:val="000000" w:themeColor="text1"/>
          <w:w w:val="80"/>
          <w:sz w:val="36"/>
          <w:szCs w:val="36"/>
          <w14:textFill>
            <w14:solidFill>
              <w14:schemeClr w14:val="tx1"/>
            </w14:solidFill>
          </w14:textFill>
        </w:rPr>
        <w:t>企业简介</w:t>
      </w:r>
      <w:bookmarkEnd w:id="43"/>
    </w:p>
    <w:p>
      <w:pPr>
        <w:jc w:val="center"/>
        <w:rPr>
          <w:rFonts w:ascii="黑体" w:hAnsi="黑体" w:eastAsia="黑体"/>
          <w:b/>
          <w:bCs/>
          <w:color w:val="000000" w:themeColor="text1"/>
          <w:w w:val="80"/>
          <w:sz w:val="36"/>
          <w:szCs w:val="36"/>
          <w14:textFill>
            <w14:solidFill>
              <w14:schemeClr w14:val="tx1"/>
            </w14:solidFill>
          </w14:textFill>
        </w:rPr>
      </w:pPr>
    </w:p>
    <w:p>
      <w:pPr>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京东方科技集团股份有限公司（BOE）创立于1993年4月，是一家领先的物联网创新企业，为信息交互和人类健康提供智慧端口产品和专业服务，形成了以半导体显示为核心，物联网创新、传感器及解决方案、MLED、智慧医工融合发展的“1+4+N+生态链”业务架构。</w:t>
      </w:r>
    </w:p>
    <w:p>
      <w:pPr>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截至2022年，京东方累计自主专利申请已超8万件，在年度新增专利申请中，发明专利超90%，海外专利超33%，覆盖美国、欧洲、日本、韩国等多个国家和地区。美国专利服务机构IFI Claims发布2022年度美国专利授权量统计报告，京东方全球排名第11位，连续第五年跻身全球TOP20；世界知识产权组织（WIPO）2022年全球国际专利申请排名中，京东方以1884件PCT专利申请量位列全球第七，连续7年进入全球PCT专利申请TOP10。</w:t>
      </w:r>
    </w:p>
    <w:p>
      <w:pPr>
        <w:spacing w:line="360" w:lineRule="exact"/>
        <w:ind w:firstLine="440" w:firstLineChars="200"/>
        <w:jc w:val="left"/>
        <w:rPr>
          <w:rFonts w:ascii="微软雅黑" w:hAnsi="微软雅黑" w:eastAsia="微软雅黑" w:cs="微软雅黑"/>
          <w:color w:val="323232"/>
          <w:sz w:val="22"/>
          <w:szCs w:val="22"/>
          <w:shd w:val="clear" w:color="auto" w:fill="FFFFFF"/>
        </w:rPr>
        <w:sectPr>
          <w:type w:val="continuous"/>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2"/>
          <w:szCs w:val="22"/>
          <w:shd w:val="clear" w:color="auto" w:fill="FFFFFF"/>
        </w:rPr>
        <w:t>BOE（京东方）在北京、合肥、成都、重庆、福州、绵阳、武汉、昆明、苏州、鄂尔多斯、固安等地拥有多个制造基地，子公司遍布美国、加拿大、德国、英国、法国、瑞士、日本、韩国、新加坡、印度、俄罗斯、巴西、阿联酋等20个国家和地区，服务体系覆盖欧、美、亚、非等全球主要地区。</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44" w:name="_Toc9531"/>
      <w:r>
        <w:rPr>
          <w:rFonts w:ascii="黑体" w:hAnsi="黑体" w:eastAsia="黑体"/>
          <w:b/>
          <w:bCs/>
          <w:color w:val="000000" w:themeColor="text1"/>
          <w:w w:val="80"/>
          <w:sz w:val="36"/>
          <w:szCs w:val="36"/>
          <w14:textFill>
            <w14:solidFill>
              <w14:schemeClr w14:val="tx1"/>
            </w14:solidFill>
          </w14:textFill>
        </w:rPr>
        <w:t>蓝思科技股份有限公司</w:t>
      </w:r>
      <w:bookmarkEnd w:id="44"/>
    </w:p>
    <w:p>
      <w:pPr>
        <w:jc w:val="center"/>
        <w:rPr>
          <w:rFonts w:ascii="黑体" w:hAnsi="黑体" w:eastAsia="黑体"/>
          <w:b/>
          <w:bCs/>
          <w:color w:val="000000" w:themeColor="text1"/>
          <w:w w:val="80"/>
          <w:sz w:val="36"/>
          <w:szCs w:val="36"/>
          <w14:textFill>
            <w14:solidFill>
              <w14:schemeClr w14:val="tx1"/>
            </w14:solidFill>
          </w14:textFill>
        </w:rPr>
      </w:pPr>
      <w:bookmarkStart w:id="45" w:name="_Toc7360"/>
      <w:r>
        <w:rPr>
          <w:rFonts w:ascii="黑体" w:hAnsi="黑体" w:eastAsia="黑体"/>
          <w:b/>
          <w:bCs/>
          <w:color w:val="000000" w:themeColor="text1"/>
          <w:w w:val="80"/>
          <w:sz w:val="36"/>
          <w:szCs w:val="36"/>
          <w14:textFill>
            <w14:solidFill>
              <w14:schemeClr w14:val="tx1"/>
            </w14:solidFill>
          </w14:textFill>
        </w:rPr>
        <w:t>企业简介</w:t>
      </w:r>
      <w:bookmarkEnd w:id="45"/>
    </w:p>
    <w:p>
      <w:pPr>
        <w:jc w:val="center"/>
        <w:rPr>
          <w:rFonts w:ascii="黑体" w:hAnsi="黑体" w:eastAsia="黑体"/>
          <w:b/>
          <w:bCs/>
          <w:color w:val="000000" w:themeColor="text1"/>
          <w:w w:val="80"/>
          <w:sz w:val="36"/>
          <w:szCs w:val="36"/>
          <w14:textFill>
            <w14:solidFill>
              <w14:schemeClr w14:val="tx1"/>
            </w14:solidFill>
          </w14:textFill>
        </w:rPr>
      </w:pP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蓝思科技是全球智能设备视窗及外观防护、结构件与电子功能件行业高新技术制造企业，主营业务为玻璃、蓝宝石、陶瓷、金属、塑胶、触控模组、生物识别、声学等外观结构及功能组件的生产、配套及组装，产品广泛应用于智能手机、智能穿戴、平板电脑、笔记本电脑、一体式电脑、新能源汽车、智能家居家电、智慧医疗等领域中高端产品，与全球知名消费电子及汽车品牌客户建立了长期、稳定的战略合作关系。公司是把精密玻璃运用到手机防护屏上的开创者，集设计、生产、服务于一体，是具备从零部件加工到整机组装、原材料、辅助材料、工装夹具、生产设备、检测设备、自动化装备、物联网研发生产能力的垂直整合平台型公司。</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总占地面积近10000亩，生产厂房、研发中心、FA实验室、办公楼等建筑面积800多万平方米，在湖南浏阳、长沙县、湘潭，广东东莞，江苏泰州、越南等地拥有研发生产基地，在中国香港、韩国、美国等地均设有就近服务全球客户的办公驻点。</w:t>
      </w:r>
    </w:p>
    <w:p>
      <w:pPr>
        <w:spacing w:line="360" w:lineRule="exact"/>
        <w:ind w:firstLine="400" w:firstLineChars="200"/>
        <w:jc w:val="left"/>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46" w:name="_Toc17365"/>
      <w:r>
        <w:rPr>
          <w:rFonts w:ascii="黑体" w:hAnsi="黑体" w:eastAsia="黑体"/>
          <w:b/>
          <w:bCs/>
          <w:color w:val="000000" w:themeColor="text1"/>
          <w:w w:val="80"/>
          <w:sz w:val="36"/>
          <w:szCs w:val="36"/>
          <w14:textFill>
            <w14:solidFill>
              <w14:schemeClr w14:val="tx1"/>
            </w14:solidFill>
          </w14:textFill>
        </w:rPr>
        <w:t>福建金德尚黄金有限公司</w:t>
      </w:r>
      <w:bookmarkEnd w:id="46"/>
    </w:p>
    <w:p>
      <w:pPr>
        <w:jc w:val="center"/>
        <w:rPr>
          <w:rFonts w:ascii="黑体" w:hAnsi="黑体" w:eastAsia="黑体"/>
          <w:b/>
          <w:bCs/>
          <w:color w:val="000000" w:themeColor="text1"/>
          <w:w w:val="80"/>
          <w:sz w:val="36"/>
          <w:szCs w:val="36"/>
          <w14:textFill>
            <w14:solidFill>
              <w14:schemeClr w14:val="tx1"/>
            </w14:solidFill>
          </w14:textFill>
        </w:rPr>
      </w:pPr>
      <w:bookmarkStart w:id="47" w:name="_Toc3677"/>
      <w:r>
        <w:rPr>
          <w:rFonts w:ascii="黑体" w:hAnsi="黑体" w:eastAsia="黑体"/>
          <w:b/>
          <w:bCs/>
          <w:color w:val="000000" w:themeColor="text1"/>
          <w:w w:val="80"/>
          <w:sz w:val="36"/>
          <w:szCs w:val="36"/>
          <w14:textFill>
            <w14:solidFill>
              <w14:schemeClr w14:val="tx1"/>
            </w14:solidFill>
          </w14:textFill>
        </w:rPr>
        <w:t>企业简介</w:t>
      </w:r>
      <w:bookmarkEnd w:id="47"/>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德诚珠宝文化创意产业园”，是国内首批、行业第一家“国家文化创新改革试验基地”，园区占地425余亩，是目前中国黄金珠宝行业最大规模的文化创意产业园之一，2015年成为文化部艺术发展中心文化创意产业研究院战略合作伙伴，共同打造“一核七平台”，集团将立足于文化创意产业园，通过引入上下游相关企业，更好地深度融合珠宝产业链，推动文创园向规模化、集聚化和专业化方向发展。</w:t>
      </w:r>
    </w:p>
    <w:p>
      <w:pPr>
        <w:spacing w:line="360" w:lineRule="exact"/>
        <w:ind w:firstLine="480" w:firstLineChars="200"/>
        <w:jc w:val="left"/>
        <w:rPr>
          <w:rFonts w:ascii="微软雅黑" w:hAnsi="微软雅黑" w:eastAsia="微软雅黑" w:cs="微软雅黑"/>
          <w:color w:val="323232"/>
          <w:sz w:val="24"/>
          <w:szCs w:val="24"/>
          <w:shd w:val="clear" w:color="auto" w:fill="FFFFFF"/>
        </w:rPr>
        <w:sectPr>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4"/>
          <w:szCs w:val="24"/>
          <w:shd w:val="clear" w:color="auto" w:fill="FFFFFF"/>
        </w:rPr>
        <w:t>旗下品牌金德尚拥有强大的研发设计团队与自主研发体系，德诚珠宝集团致力于学习型企业的建设，注重加强对人才的培养和教育，不断开扩视野，提高自身综合素质，使其与企业的成长同步。公司建立了“双子人才工程”系列的培养链条，规划并实施针对管培生（雏狮计划）、基层管理（青狮计划）、中层管理（英狮计划）、高层管理（雄狮计划）的人才培养体系，打造人才生产流水线，支持业务持续高速发展。让人才在德诚的平台不断实现自我价值和职业发展，达成双赢目标。</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48" w:name="_Toc30042"/>
      <w:r>
        <w:rPr>
          <w:rFonts w:ascii="黑体" w:hAnsi="黑体" w:eastAsia="黑体"/>
          <w:b/>
          <w:bCs/>
          <w:color w:val="000000" w:themeColor="text1"/>
          <w:w w:val="80"/>
          <w:sz w:val="36"/>
          <w:szCs w:val="36"/>
          <w14:textFill>
            <w14:solidFill>
              <w14:schemeClr w14:val="tx1"/>
            </w14:solidFill>
          </w14:textFill>
        </w:rPr>
        <w:t>特变电工衡阳变压器有限公司</w:t>
      </w:r>
      <w:bookmarkEnd w:id="48"/>
    </w:p>
    <w:p>
      <w:pPr>
        <w:jc w:val="center"/>
        <w:rPr>
          <w:rFonts w:ascii="黑体" w:hAnsi="黑体" w:eastAsia="黑体"/>
          <w:b/>
          <w:bCs/>
          <w:color w:val="000000" w:themeColor="text1"/>
          <w:w w:val="80"/>
          <w:sz w:val="36"/>
          <w:szCs w:val="36"/>
          <w14:textFill>
            <w14:solidFill>
              <w14:schemeClr w14:val="tx1"/>
            </w14:solidFill>
          </w14:textFill>
        </w:rPr>
      </w:pPr>
      <w:bookmarkStart w:id="49" w:name="_Toc6865"/>
      <w:r>
        <w:rPr>
          <w:rFonts w:ascii="黑体" w:hAnsi="黑体" w:eastAsia="黑体"/>
          <w:b/>
          <w:bCs/>
          <w:color w:val="000000" w:themeColor="text1"/>
          <w:w w:val="80"/>
          <w:sz w:val="36"/>
          <w:szCs w:val="36"/>
          <w14:textFill>
            <w14:solidFill>
              <w14:schemeClr w14:val="tx1"/>
            </w14:solidFill>
          </w14:textFill>
        </w:rPr>
        <w:t>企业简介</w:t>
      </w:r>
      <w:bookmarkEnd w:id="49"/>
    </w:p>
    <w:p>
      <w:pPr>
        <w:widowControl/>
        <w:jc w:val="left"/>
      </w:pP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sectPr>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6"/>
          <w:szCs w:val="26"/>
          <w:shd w:val="clear" w:color="auto" w:fill="FFFFFF"/>
        </w:rPr>
        <w:t>特变电工衡阳变压器有限公司是特变电工的重要控股子公司，公司注册资本15.17亿元。始建于1951年，现已发展成为我国战略性新兴产业“高端装备制造”、“智能装备制造”的重要承担者。业务涵盖输变电高端装备制造，海内外电力工程建设，二次智能配电网装备研制与服务，完全具备10kV～1000kV变压器及电抗器，±200kV～±1100kV换流变压器，箱变、GIS、综自保护、配网自动化保护系统研制及电力工程总承包、检修运维、新能源变电站及充电站建设等全系列产品集成服务能力，拥有完整的制造业和制造服务业产业链。先后荣获我国科学技术领域最高奖项——国家科技进步特等奖1项、一等奖2项。</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50" w:name="_Toc20625"/>
      <w:r>
        <w:rPr>
          <w:rFonts w:ascii="黑体" w:hAnsi="黑体" w:eastAsia="黑体"/>
          <w:b/>
          <w:bCs/>
          <w:color w:val="000000" w:themeColor="text1"/>
          <w:w w:val="80"/>
          <w:sz w:val="36"/>
          <w:szCs w:val="36"/>
          <w14:textFill>
            <w14:solidFill>
              <w14:schemeClr w14:val="tx1"/>
            </w14:solidFill>
          </w14:textFill>
        </w:rPr>
        <w:t>湖南科瑞特科技有限公司</w:t>
      </w:r>
      <w:bookmarkEnd w:id="50"/>
    </w:p>
    <w:p>
      <w:pPr>
        <w:jc w:val="center"/>
        <w:rPr>
          <w:rFonts w:ascii="黑体" w:hAnsi="黑体" w:eastAsia="黑体"/>
          <w:b/>
          <w:bCs/>
          <w:color w:val="000000" w:themeColor="text1"/>
          <w:w w:val="80"/>
          <w:sz w:val="36"/>
          <w:szCs w:val="36"/>
          <w14:textFill>
            <w14:solidFill>
              <w14:schemeClr w14:val="tx1"/>
            </w14:solidFill>
          </w14:textFill>
        </w:rPr>
      </w:pPr>
      <w:bookmarkStart w:id="51" w:name="_Toc23703"/>
      <w:r>
        <w:rPr>
          <w:rFonts w:ascii="黑体" w:hAnsi="黑体" w:eastAsia="黑体"/>
          <w:b/>
          <w:bCs/>
          <w:color w:val="000000" w:themeColor="text1"/>
          <w:w w:val="80"/>
          <w:sz w:val="36"/>
          <w:szCs w:val="36"/>
          <w14:textFill>
            <w14:solidFill>
              <w14:schemeClr w14:val="tx1"/>
            </w14:solidFill>
          </w14:textFill>
        </w:rPr>
        <w:t>企业简介</w:t>
      </w:r>
      <w:bookmarkEnd w:id="51"/>
    </w:p>
    <w:p>
      <w:pPr>
        <w:pStyle w:val="2"/>
      </w:pP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湖南科瑞特科技有限公司创立于2004年，是一家以人工智能技术、机器人技术、物联网技术等先进技术为核心，集产品研究开发、生产制造、市场营销、工程服务及技术培训为一体，为工业企业、科研院所、高校与职校在人工智能及应用、智能机器人、工业机器人与智能制造、电子工艺与制造、无人机及应用等泛人工智能领域提供整体解决方案的专业提供商。</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为省级高新技术企业、信息化建设重点试点企业、智能制造示范企业、小巨人企业；公司已通过ISO9001国际质量管理体系认证、ISO14001国际环境管理体系认证、OHSAS1800职业健康安全管理体系认证；在科技创新方面，公司先后获得80多项专利与软件著作权等自主知识产权，30多个科技项目获得部级、省市级重大、重点项目认定。</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公司在全国共设立15个办事处，拥有150家以上合作伙伴、1200家以上终端客户，经营与服务网络覆盖全国绝大部分地区。</w:t>
      </w:r>
    </w:p>
    <w:p>
      <w:pPr>
        <w:widowControl/>
        <w:jc w:val="left"/>
        <w:rPr>
          <w:rFonts w:ascii="微软雅黑" w:hAnsi="微软雅黑" w:eastAsia="微软雅黑" w:cs="微软雅黑"/>
          <w:color w:val="323232"/>
          <w:sz w:val="22"/>
          <w:szCs w:val="22"/>
          <w:shd w:val="clear" w:color="auto" w:fill="FFFFFF"/>
        </w:rPr>
      </w:pPr>
      <w:r>
        <w:rPr>
          <w:rFonts w:ascii="微软雅黑" w:hAnsi="微软雅黑" w:eastAsia="微软雅黑" w:cs="微软雅黑"/>
          <w:color w:val="323232"/>
          <w:sz w:val="22"/>
          <w:szCs w:val="22"/>
          <w:shd w:val="clear" w:color="auto" w:fill="FFFFFF"/>
        </w:rPr>
        <w:br w:type="page"/>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52" w:name="_Toc4522"/>
      <w:r>
        <w:rPr>
          <w:rFonts w:ascii="黑体" w:hAnsi="黑体" w:eastAsia="黑体"/>
          <w:b/>
          <w:bCs/>
          <w:color w:val="000000" w:themeColor="text1"/>
          <w:w w:val="80"/>
          <w:sz w:val="36"/>
          <w:szCs w:val="36"/>
          <w14:textFill>
            <w14:solidFill>
              <w14:schemeClr w14:val="tx1"/>
            </w14:solidFill>
          </w14:textFill>
        </w:rPr>
        <w:t>湖南皖湘科技有限公司</w:t>
      </w:r>
      <w:bookmarkEnd w:id="52"/>
    </w:p>
    <w:p>
      <w:pPr>
        <w:jc w:val="center"/>
        <w:rPr>
          <w:rFonts w:ascii="黑体" w:hAnsi="黑体" w:eastAsia="黑体"/>
          <w:b/>
          <w:bCs/>
          <w:color w:val="000000" w:themeColor="text1"/>
          <w:w w:val="80"/>
          <w:sz w:val="36"/>
          <w:szCs w:val="36"/>
          <w14:textFill>
            <w14:solidFill>
              <w14:schemeClr w14:val="tx1"/>
            </w14:solidFill>
          </w14:textFill>
        </w:rPr>
      </w:pPr>
      <w:bookmarkStart w:id="53" w:name="_Toc1071"/>
      <w:r>
        <w:rPr>
          <w:rFonts w:ascii="黑体" w:hAnsi="黑体" w:eastAsia="黑体"/>
          <w:b/>
          <w:bCs/>
          <w:color w:val="000000" w:themeColor="text1"/>
          <w:w w:val="80"/>
          <w:sz w:val="36"/>
          <w:szCs w:val="36"/>
          <w14:textFill>
            <w14:solidFill>
              <w14:schemeClr w14:val="tx1"/>
            </w14:solidFill>
          </w14:textFill>
        </w:rPr>
        <w:t>企业简介</w:t>
      </w:r>
      <w:bookmarkEnd w:id="53"/>
    </w:p>
    <w:p>
      <w:pPr>
        <w:widowControl/>
        <w:jc w:val="left"/>
      </w:pPr>
    </w:p>
    <w:p>
      <w:pPr>
        <w:widowControl/>
        <w:spacing w:line="38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湖南皖湘科技有限公司成立于2002年，座落于衡阳市高新技术产业开发区，注册资本3000万元人民币，现有办公场地1000余平方米。拥有各类知识产权超百余项，自主研发软件产品20余项，是一家国家级的高新技术企业。</w:t>
      </w:r>
    </w:p>
    <w:p>
      <w:pPr>
        <w:widowControl/>
        <w:spacing w:line="38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荣获“高新技术企业”、“湖南专精特新‘小巨人’企业”、"湖南省移动互联网重点企业"、"湖南省制造业产融合作重点企业"、“湖南省制造业产融合作重点企业”、“湖南省守合同重信用企业”、“湖南省企业诚信建设先进单位”、“招投标企业信用AAA级”等荣誉称号，参与完成各类国家级、省级、市级科研类项目，同时取得软件企业、ISO信息安全管理体系认证、ISO职业健康安全管理体系认证、ISO环境管理体系认证、ISO质量管理体系认证、ISO服务管理体系认证等多项管理体系认证。</w:t>
      </w:r>
    </w:p>
    <w:p>
      <w:pPr>
        <w:widowControl/>
        <w:spacing w:line="38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同时拥有各类行业资质，包括电子与智能化工程专业承包贰级资质，软件能力成熟度模型CMMI三级资质，CCRC信息安全风险评估和信息安全运维服务三级资质，安全技术防范系统设计、施工、维修一级资质，ITSS信息技术运维标准三级资质等，是湖南省领先的IT服务供应商。</w:t>
      </w:r>
    </w:p>
    <w:p>
      <w:pPr>
        <w:widowControl/>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54" w:name="_Toc24529"/>
      <w:r>
        <w:rPr>
          <w:rFonts w:ascii="黑体" w:hAnsi="黑体" w:eastAsia="黑体"/>
          <w:b/>
          <w:bCs/>
          <w:color w:val="000000" w:themeColor="text1"/>
          <w:w w:val="80"/>
          <w:sz w:val="36"/>
          <w:szCs w:val="36"/>
          <w14:textFill>
            <w14:solidFill>
              <w14:schemeClr w14:val="tx1"/>
            </w14:solidFill>
          </w14:textFill>
        </w:rPr>
        <w:t>福州海汇生物科技实业有限公司</w:t>
      </w:r>
      <w:bookmarkEnd w:id="54"/>
    </w:p>
    <w:p>
      <w:pPr>
        <w:jc w:val="center"/>
        <w:rPr>
          <w:rFonts w:ascii="黑体" w:hAnsi="黑体" w:eastAsia="黑体"/>
          <w:b/>
          <w:bCs/>
          <w:color w:val="000000" w:themeColor="text1"/>
          <w:w w:val="80"/>
          <w:sz w:val="36"/>
          <w:szCs w:val="36"/>
          <w14:textFill>
            <w14:solidFill>
              <w14:schemeClr w14:val="tx1"/>
            </w14:solidFill>
          </w14:textFill>
        </w:rPr>
      </w:pPr>
      <w:bookmarkStart w:id="55" w:name="_Toc14854"/>
      <w:r>
        <w:rPr>
          <w:rFonts w:ascii="黑体" w:hAnsi="黑体" w:eastAsia="黑体"/>
          <w:b/>
          <w:bCs/>
          <w:color w:val="000000" w:themeColor="text1"/>
          <w:w w:val="80"/>
          <w:sz w:val="36"/>
          <w:szCs w:val="36"/>
          <w14:textFill>
            <w14:solidFill>
              <w14:schemeClr w14:val="tx1"/>
            </w14:solidFill>
          </w14:textFill>
        </w:rPr>
        <w:t>企业简介</w:t>
      </w:r>
      <w:bookmarkEnd w:id="55"/>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widowControl/>
        <w:spacing w:line="40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福州海汇生物科技实业有限公司，是一家以海洋为根基、以科技为支撑的新型高科技企业。公司成立于2007年，位于福建省连江县海峡西岸水产加工基地内，占地面积达51亩，注册资金达5000万元。多年来，海汇一直坚持技术创新和升级，积极推进科技创新，取得多项发明专利，成为省级海洋产业龙头企业、国家高新技术企业、省级高新技术企业、省级专精特新企业、省科技型企业证书、市名牌产品称号、福建省小巨人领军、中国水产流通与加工协会证书、省级重点龙头企业等多项荣誉。</w:t>
      </w:r>
    </w:p>
    <w:p>
      <w:pPr>
        <w:widowControl/>
        <w:spacing w:line="40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公司专注于水产原料、水产饲料、海洋食品和海洋生物等领域的生产与经营。自2012年起先后在国内沿海福建连江、山东烟台、威海荣成和丹东东港设立了分厂。并与名成集团、宏东渔业、北京中科和厦门汇盛等企业合作，涉及金枪鱼加工、胶原蛋白、冷链交易和海洋生物等产品的生产制造。</w:t>
      </w:r>
    </w:p>
    <w:p>
      <w:pPr>
        <w:widowControl/>
        <w:spacing w:line="400" w:lineRule="exact"/>
        <w:ind w:firstLine="480" w:firstLineChars="200"/>
        <w:jc w:val="left"/>
        <w:rPr>
          <w:rFonts w:ascii="微软雅黑" w:hAnsi="微软雅黑" w:eastAsia="微软雅黑" w:cs="微软雅黑"/>
          <w:color w:val="323232"/>
          <w:sz w:val="24"/>
          <w:szCs w:val="24"/>
          <w:shd w:val="clear" w:color="auto" w:fill="FFFFFF"/>
        </w:rPr>
      </w:pP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jc w:val="center"/>
        <w:rPr>
          <w:rFonts w:ascii="黑体" w:hAnsi="黑体" w:eastAsia="黑体"/>
          <w:b/>
          <w:bCs/>
          <w:color w:val="000000" w:themeColor="text1"/>
          <w:w w:val="80"/>
          <w:sz w:val="36"/>
          <w:szCs w:val="36"/>
          <w14:textFill>
            <w14:solidFill>
              <w14:schemeClr w14:val="tx1"/>
            </w14:solidFill>
          </w14:textFill>
        </w:rPr>
      </w:pPr>
      <w:bookmarkStart w:id="56" w:name="_Toc4104"/>
      <w:r>
        <w:drawing>
          <wp:inline distT="0" distB="0" distL="0" distR="0">
            <wp:extent cx="2310765" cy="396240"/>
            <wp:effectExtent l="0" t="0" r="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r>
        <w:rPr>
          <w:rFonts w:ascii="黑体" w:hAnsi="黑体" w:eastAsia="黑体"/>
          <w:b/>
          <w:bCs/>
          <w:color w:val="000000" w:themeColor="text1"/>
          <w:w w:val="80"/>
          <w:sz w:val="36"/>
          <w:szCs w:val="36"/>
          <w14:textFill>
            <w14:solidFill>
              <w14:schemeClr w14:val="tx1"/>
            </w14:solidFill>
          </w14:textFill>
        </w:rPr>
        <w:t>厦门宝益科技有限公司</w:t>
      </w:r>
      <w:bookmarkEnd w:id="56"/>
    </w:p>
    <w:p>
      <w:pPr>
        <w:jc w:val="center"/>
        <w:rPr>
          <w:rFonts w:ascii="黑体" w:hAnsi="黑体" w:eastAsia="黑体"/>
          <w:b/>
          <w:bCs/>
          <w:color w:val="000000" w:themeColor="text1"/>
          <w:w w:val="80"/>
          <w:sz w:val="36"/>
          <w:szCs w:val="36"/>
          <w14:textFill>
            <w14:solidFill>
              <w14:schemeClr w14:val="tx1"/>
            </w14:solidFill>
          </w14:textFill>
        </w:rPr>
      </w:pPr>
      <w:bookmarkStart w:id="57" w:name="_Toc7247"/>
      <w:r>
        <w:rPr>
          <w:rFonts w:ascii="黑体" w:hAnsi="黑体" w:eastAsia="黑体"/>
          <w:b/>
          <w:bCs/>
          <w:color w:val="000000" w:themeColor="text1"/>
          <w:w w:val="80"/>
          <w:sz w:val="36"/>
          <w:szCs w:val="36"/>
          <w14:textFill>
            <w14:solidFill>
              <w14:schemeClr w14:val="tx1"/>
            </w14:solidFill>
          </w14:textFill>
        </w:rPr>
        <w:t>企业简介</w:t>
      </w:r>
      <w:bookmarkEnd w:id="57"/>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宝益科技集团（简称“宝益科技”）始创于2011年3月，是一家集研发、生产、销售、服务于一体，专注于热管理材料研发、 热管理方案研究、各类加热保温产品及汽车发泡、缓冲、隔热等产品研发，致力于成为一流的新能源汽车热管理材料配套整体解决方案的高新技术企业。公司以PI加热膜为主业，并横向拓展辅以其他材质的加热片、MPP发泡材料等新能源材料的研发和拓展，业务横跨新能源动力电池、汽车零部件、大健康医疗、航空航天、家用电器等领域。</w:t>
      </w:r>
    </w:p>
    <w:p>
      <w:pPr>
        <w:widowControl/>
        <w:spacing w:line="360" w:lineRule="exact"/>
        <w:ind w:firstLine="480" w:firstLineChars="200"/>
        <w:jc w:val="left"/>
        <w:rPr>
          <w:rFonts w:ascii="微软雅黑" w:hAnsi="微软雅黑" w:eastAsia="微软雅黑" w:cs="微软雅黑"/>
          <w:color w:val="323232"/>
          <w:sz w:val="28"/>
          <w:szCs w:val="28"/>
          <w:shd w:val="clear" w:color="auto" w:fill="FFFFFF"/>
        </w:rPr>
        <w:sectPr>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4"/>
          <w:szCs w:val="24"/>
          <w:shd w:val="clear" w:color="auto" w:fill="FFFFFF"/>
        </w:rPr>
        <w:t xml:space="preserve">集团总部位于福建省厦门市，旗下拥有厦门宝益科技有限公司、厦门宝益新材料有限公司、厦门宝益新材料研究所、惠州宝益新能源科技有限公司、武汉光谷宝益健康科技有限公司，目前在厦门、惠州、武汉三地均建有先进的生产基地，在厦门、惠州、武汉设有子公司。公司先后荣获“国家高新技术企业”“福建省专精特新企业” “瞪羚企业”“厦门市专精特新中小企业”等十几项荣誉称号。 </w:t>
      </w:r>
      <w:r>
        <w:rPr>
          <w:rFonts w:hint="eastAsia" w:ascii="微软雅黑" w:hAnsi="微软雅黑" w:eastAsia="微软雅黑" w:cs="微软雅黑"/>
          <w:color w:val="323232"/>
          <w:sz w:val="28"/>
          <w:szCs w:val="28"/>
          <w:shd w:val="clear" w:color="auto" w:fill="FFFFFF"/>
        </w:rPr>
        <w:t xml:space="preserve"> </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58" w:name="_Toc22533"/>
      <w:r>
        <w:rPr>
          <w:rFonts w:ascii="黑体" w:hAnsi="黑体" w:eastAsia="黑体"/>
          <w:b/>
          <w:bCs/>
          <w:color w:val="000000" w:themeColor="text1"/>
          <w:w w:val="80"/>
          <w:sz w:val="36"/>
          <w:szCs w:val="36"/>
          <w14:textFill>
            <w14:solidFill>
              <w14:schemeClr w14:val="tx1"/>
            </w14:solidFill>
          </w14:textFill>
        </w:rPr>
        <w:t>湖南省网安基地科技有限公司</w:t>
      </w:r>
      <w:bookmarkEnd w:id="58"/>
    </w:p>
    <w:p>
      <w:pPr>
        <w:jc w:val="center"/>
        <w:rPr>
          <w:rFonts w:ascii="黑体" w:hAnsi="黑体" w:eastAsia="黑体"/>
          <w:b/>
          <w:bCs/>
          <w:color w:val="000000" w:themeColor="text1"/>
          <w:w w:val="80"/>
          <w:sz w:val="36"/>
          <w:szCs w:val="36"/>
          <w14:textFill>
            <w14:solidFill>
              <w14:schemeClr w14:val="tx1"/>
            </w14:solidFill>
          </w14:textFill>
        </w:rPr>
      </w:pPr>
      <w:bookmarkStart w:id="59" w:name="_Toc8434"/>
      <w:r>
        <w:rPr>
          <w:rFonts w:ascii="黑体" w:hAnsi="黑体" w:eastAsia="黑体"/>
          <w:b/>
          <w:bCs/>
          <w:color w:val="000000" w:themeColor="text1"/>
          <w:w w:val="80"/>
          <w:sz w:val="36"/>
          <w:szCs w:val="36"/>
          <w14:textFill>
            <w14:solidFill>
              <w14:schemeClr w14:val="tx1"/>
            </w14:solidFill>
          </w14:textFill>
        </w:rPr>
        <w:t>企业简介</w:t>
      </w:r>
      <w:bookmarkEnd w:id="59"/>
    </w:p>
    <w:p>
      <w:pPr>
        <w:widowControl/>
        <w:jc w:val="left"/>
      </w:pPr>
    </w:p>
    <w:p>
      <w:pPr>
        <w:widowControl/>
        <w:spacing w:line="500" w:lineRule="exact"/>
        <w:ind w:firstLine="520" w:firstLineChars="200"/>
        <w:jc w:val="left"/>
        <w:rPr>
          <w:rFonts w:ascii="微软雅黑" w:hAnsi="微软雅黑" w:eastAsia="微软雅黑" w:cs="微软雅黑"/>
          <w:color w:val="323232"/>
          <w:sz w:val="26"/>
          <w:szCs w:val="26"/>
          <w:shd w:val="clear" w:color="auto" w:fill="FFFFFF"/>
        </w:rPr>
      </w:pPr>
      <w:r>
        <w:rPr>
          <w:rFonts w:hint="eastAsia" w:ascii="微软雅黑" w:hAnsi="微软雅黑" w:eastAsia="微软雅黑" w:cs="微软雅黑"/>
          <w:color w:val="323232"/>
          <w:sz w:val="26"/>
          <w:szCs w:val="26"/>
          <w:shd w:val="clear" w:color="auto" w:fill="FFFFFF"/>
        </w:rPr>
        <w:t>湖南省网安基地科技有限公司是一家网络安全与大数据，人工智能，在线教育相融合的信息安全科技公司。网安基地通过与高校深度校企合作建立产学研基地。以培养网络安全人才为基石，实训网络安全项目为驱动力，研发网络安全产品服务大众为目标。团队主要致力于网络安全技术研究、服务和定制化人才培养。技术研究与培养方向主要包括：Web渗透，内网渗透、漏洞研究与分析，APT攻防，红蓝对抗，安全运维和应急响应等。</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60" w:name="_Toc14579"/>
      <w:r>
        <w:rPr>
          <w:rFonts w:ascii="黑体" w:hAnsi="黑体" w:eastAsia="黑体"/>
          <w:b/>
          <w:bCs/>
          <w:color w:val="000000" w:themeColor="text1"/>
          <w:w w:val="80"/>
          <w:sz w:val="36"/>
          <w:szCs w:val="36"/>
          <w14:textFill>
            <w14:solidFill>
              <w14:schemeClr w14:val="tx1"/>
            </w14:solidFill>
          </w14:textFill>
        </w:rPr>
        <w:t>湘能楚天电力集团</w:t>
      </w:r>
      <w:bookmarkEnd w:id="60"/>
    </w:p>
    <w:p>
      <w:pPr>
        <w:jc w:val="center"/>
        <w:rPr>
          <w:rFonts w:ascii="黑体" w:hAnsi="黑体" w:eastAsia="黑体"/>
          <w:b/>
          <w:bCs/>
          <w:color w:val="000000" w:themeColor="text1"/>
          <w:w w:val="80"/>
          <w:sz w:val="36"/>
          <w:szCs w:val="36"/>
          <w14:textFill>
            <w14:solidFill>
              <w14:schemeClr w14:val="tx1"/>
            </w14:solidFill>
          </w14:textFill>
        </w:rPr>
      </w:pPr>
      <w:bookmarkStart w:id="61" w:name="_Toc9155"/>
      <w:r>
        <w:rPr>
          <w:rFonts w:ascii="黑体" w:hAnsi="黑体" w:eastAsia="黑体"/>
          <w:b/>
          <w:bCs/>
          <w:color w:val="000000" w:themeColor="text1"/>
          <w:w w:val="80"/>
          <w:sz w:val="36"/>
          <w:szCs w:val="36"/>
          <w14:textFill>
            <w14:solidFill>
              <w14:schemeClr w14:val="tx1"/>
            </w14:solidFill>
          </w14:textFill>
        </w:rPr>
        <w:t>企业简介</w:t>
      </w:r>
      <w:bookmarkEnd w:id="61"/>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湘能楚天电力装备股份有限公司创建于2004年，是专门致力于新型变电站研发、设计、模块制造和集成、安装调试、智慧运维的一体化服务平台。</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集团立足“成为全球变电站系统服务专家”的定位，通过成立电力产业研究院，与湖南大学、长沙理工大学产学研结合，</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不断以科技创新推动产业转型升级，是中国各行业电力产品技术标准的参与者和制定者。</w:t>
      </w:r>
    </w:p>
    <w:p>
      <w:pPr>
        <w:widowControl/>
        <w:spacing w:line="360" w:lineRule="exact"/>
        <w:ind w:firstLine="480" w:firstLineChars="200"/>
        <w:jc w:val="left"/>
        <w:rPr>
          <w:rFonts w:ascii="微软雅黑" w:hAnsi="微软雅黑" w:eastAsia="微软雅黑" w:cs="微软雅黑"/>
          <w:color w:val="323232"/>
          <w:sz w:val="24"/>
          <w:szCs w:val="24"/>
          <w:shd w:val="clear" w:color="auto" w:fill="FFFFFF"/>
        </w:rPr>
      </w:pPr>
      <w:r>
        <w:rPr>
          <w:rFonts w:hint="eastAsia" w:ascii="微软雅黑" w:hAnsi="微软雅黑" w:eastAsia="微软雅黑" w:cs="微软雅黑"/>
          <w:color w:val="323232"/>
          <w:sz w:val="24"/>
          <w:szCs w:val="24"/>
          <w:shd w:val="clear" w:color="auto" w:fill="FFFFFF"/>
        </w:rPr>
        <w:t>依托强大的科研实力及创新能力，集团着力打造变电站全面模块化、装配化、智能化。目前，集团是全国少有能提供装配式变电站和预制舱式变电站两种解决方案提供商，成为国内变电站装配制造综合实力雄厚的企业之一。已成功投放市场的装配式变电站、预制舱式变电站，因其环境适应性强、模块制造的精密程度高、智慧运维规范和全面的显著特点，得到了广大用户的高度认可。</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widowControl/>
        <w:jc w:val="left"/>
        <w:rPr>
          <w:rFonts w:ascii="华文琥珀" w:hAnsi="华文中宋" w:eastAsia="华文琥珀"/>
          <w:b/>
          <w:bCs/>
          <w:color w:val="000000" w:themeColor="text1"/>
          <w:w w:val="80"/>
          <w:sz w:val="30"/>
          <w:szCs w:val="30"/>
          <w14:textFill>
            <w14:solidFill>
              <w14:schemeClr w14:val="tx1"/>
            </w14:solidFill>
          </w14:textFill>
        </w:r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62" w:name="_Toc26949"/>
      <w:r>
        <w:rPr>
          <w:rFonts w:ascii="黑体" w:hAnsi="黑体" w:eastAsia="黑体"/>
          <w:b/>
          <w:bCs/>
          <w:color w:val="000000" w:themeColor="text1"/>
          <w:w w:val="80"/>
          <w:sz w:val="36"/>
          <w:szCs w:val="36"/>
          <w14:textFill>
            <w14:solidFill>
              <w14:schemeClr w14:val="tx1"/>
            </w14:solidFill>
          </w14:textFill>
        </w:rPr>
        <w:t>桂林君泰福电气有限公司</w:t>
      </w:r>
      <w:bookmarkEnd w:id="62"/>
    </w:p>
    <w:p>
      <w:pPr>
        <w:jc w:val="center"/>
        <w:rPr>
          <w:rFonts w:ascii="黑体" w:hAnsi="黑体" w:eastAsia="黑体"/>
          <w:b/>
          <w:bCs/>
          <w:color w:val="000000" w:themeColor="text1"/>
          <w:w w:val="80"/>
          <w:sz w:val="36"/>
          <w:szCs w:val="36"/>
          <w14:textFill>
            <w14:solidFill>
              <w14:schemeClr w14:val="tx1"/>
            </w14:solidFill>
          </w14:textFill>
        </w:rPr>
      </w:pPr>
      <w:bookmarkStart w:id="63" w:name="_Toc27549"/>
      <w:r>
        <w:rPr>
          <w:rFonts w:ascii="黑体" w:hAnsi="黑体" w:eastAsia="黑体"/>
          <w:b/>
          <w:bCs/>
          <w:color w:val="000000" w:themeColor="text1"/>
          <w:w w:val="80"/>
          <w:sz w:val="36"/>
          <w:szCs w:val="36"/>
          <w14:textFill>
            <w14:solidFill>
              <w14:schemeClr w14:val="tx1"/>
            </w14:solidFill>
          </w14:textFill>
        </w:rPr>
        <w:t>企业简介</w:t>
      </w:r>
      <w:bookmarkEnd w:id="63"/>
    </w:p>
    <w:p>
      <w:pPr>
        <w:widowControl/>
        <w:jc w:val="left"/>
        <w:rPr>
          <w:sz w:val="18"/>
        </w:rPr>
      </w:pP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桂林君泰福电气有限公司是海南金盘智能科技股份有限公司子公司，成立于2010年，坐落于山水甲天下的桂林国家高新区铁山工业园，是一家致力于绿色能源和智能电网领域的输配电设备装备制造公司。</w:t>
      </w: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公司主要进行干式变压器、干式电抗器、箱式变电站、中低压成套开关设备和控制设备、岸电电源、光伏逆变器和太阳能发电设备、无功补偿装置的设计、开发、生产和服务。</w:t>
      </w: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sectPr>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4"/>
          <w:szCs w:val="28"/>
          <w:shd w:val="clear" w:color="auto" w:fill="FFFFFF"/>
        </w:rPr>
        <w:t xml:space="preserve"> 公司于2015年荣获桂林市绿色环保企业、2016年被评为自治区“互联网+”制造业示范企业，公司先后建立了自治区级企业技术中心、研发中心、工业设计中心、工业云与工业大数据中心，近年还获得第四届桂林市市长质量奖、第四届广西壮族自治区主席质量奖提名奖、广西卓越绩效模式先进企业、广西“守合同重信用”公示企业、广西壮族自治区强优工业企业、智能工厂、国家两化融合贯标企业、国家级“绿色工厂”等。</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64" w:name="_Toc32241"/>
      <w:r>
        <w:rPr>
          <w:rFonts w:ascii="黑体" w:hAnsi="黑体" w:eastAsia="黑体"/>
          <w:b/>
          <w:bCs/>
          <w:color w:val="000000" w:themeColor="text1"/>
          <w:w w:val="80"/>
          <w:sz w:val="36"/>
          <w:szCs w:val="36"/>
          <w14:textFill>
            <w14:solidFill>
              <w14:schemeClr w14:val="tx1"/>
            </w14:solidFill>
          </w14:textFill>
        </w:rPr>
        <w:t>深圳市安科讯电子制造有限公司</w:t>
      </w:r>
      <w:bookmarkEnd w:id="64"/>
    </w:p>
    <w:p>
      <w:pPr>
        <w:jc w:val="center"/>
        <w:rPr>
          <w:rFonts w:ascii="黑体" w:hAnsi="黑体" w:eastAsia="黑体"/>
          <w:b/>
          <w:bCs/>
          <w:color w:val="000000" w:themeColor="text1"/>
          <w:w w:val="80"/>
          <w:sz w:val="36"/>
          <w:szCs w:val="36"/>
          <w14:textFill>
            <w14:solidFill>
              <w14:schemeClr w14:val="tx1"/>
            </w14:solidFill>
          </w14:textFill>
        </w:rPr>
      </w:pPr>
      <w:bookmarkStart w:id="65" w:name="_Toc1294"/>
      <w:r>
        <w:rPr>
          <w:rFonts w:ascii="黑体" w:hAnsi="黑体" w:eastAsia="黑体"/>
          <w:b/>
          <w:bCs/>
          <w:color w:val="000000" w:themeColor="text1"/>
          <w:w w:val="80"/>
          <w:sz w:val="36"/>
          <w:szCs w:val="36"/>
          <w14:textFill>
            <w14:solidFill>
              <w14:schemeClr w14:val="tx1"/>
            </w14:solidFill>
          </w14:textFill>
        </w:rPr>
        <w:t>企业简介</w:t>
      </w:r>
      <w:bookmarkEnd w:id="65"/>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安科讯集团旗下有三家公司：深圳市安科讯实业有限公司 1999年成立，注册资本4000万元，位于深圳盐田。深圳市安科讯电子制造有限公司2004年成立，注册资本2800万元，位于深圳盐田。苏州安川泰科技有限公司 2017年成立，注册资本2000万元，公司位于国家级工业园区苏州工业园。</w:t>
      </w: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ascii="微软雅黑" w:hAnsi="微软雅黑" w:eastAsia="微软雅黑" w:cs="微软雅黑"/>
          <w:color w:val="323232"/>
          <w:sz w:val="24"/>
          <w:szCs w:val="28"/>
          <w:shd w:val="clear" w:color="auto" w:fill="FFFFFF"/>
        </w:rPr>
        <w:t xml:space="preserve"> </w:t>
      </w:r>
      <w:r>
        <w:rPr>
          <w:rFonts w:hint="eastAsia" w:ascii="微软雅黑" w:hAnsi="微软雅黑" w:eastAsia="微软雅黑" w:cs="微软雅黑"/>
          <w:color w:val="323232"/>
          <w:sz w:val="24"/>
          <w:szCs w:val="28"/>
          <w:shd w:val="clear" w:color="auto" w:fill="FFFFFF"/>
        </w:rPr>
        <w:t>公司长期坚持走自主研发和高端智能制造的道路，聚焦于ICT（信息与通讯技术）、数字能源、新能源、工业自动化、汽车电子、物联网、企业网等领域，为华为、汇川、英威腾、蓝海华腾、SONY等优秀企业提供专业的一体化解决方案和服务。多年来公司在数字能源领域产品的研发、生产、销售等方面积累了丰富的经验，公司有员工2000多人，其中研发人员达200多人，工程技术、质量人员达500多人，已获得各种发明专利、实用新型专利和软件著作权近百项。公司拥有智慧工厂样板示范车间，在智能制造、精益改善和信息化建设方面获得行业一致好评。</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66" w:name="_Toc22234"/>
      <w:r>
        <w:rPr>
          <w:rFonts w:ascii="黑体" w:hAnsi="黑体" w:eastAsia="黑体"/>
          <w:b/>
          <w:bCs/>
          <w:color w:val="000000" w:themeColor="text1"/>
          <w:w w:val="80"/>
          <w:sz w:val="36"/>
          <w:szCs w:val="36"/>
          <w14:textFill>
            <w14:solidFill>
              <w14:schemeClr w14:val="tx1"/>
            </w14:solidFill>
          </w14:textFill>
        </w:rPr>
        <w:t>惠州市德赛电池有限公司</w:t>
      </w:r>
      <w:bookmarkEnd w:id="66"/>
    </w:p>
    <w:p>
      <w:pPr>
        <w:jc w:val="center"/>
        <w:rPr>
          <w:rFonts w:ascii="黑体" w:hAnsi="黑体" w:eastAsia="黑体"/>
          <w:b/>
          <w:bCs/>
          <w:color w:val="000000" w:themeColor="text1"/>
          <w:w w:val="80"/>
          <w:sz w:val="36"/>
          <w:szCs w:val="36"/>
          <w14:textFill>
            <w14:solidFill>
              <w14:schemeClr w14:val="tx1"/>
            </w14:solidFill>
          </w14:textFill>
        </w:rPr>
      </w:pPr>
      <w:bookmarkStart w:id="67" w:name="_Toc1982"/>
      <w:r>
        <w:rPr>
          <w:rFonts w:ascii="黑体" w:hAnsi="黑体" w:eastAsia="黑体"/>
          <w:b/>
          <w:bCs/>
          <w:color w:val="000000" w:themeColor="text1"/>
          <w:w w:val="80"/>
          <w:sz w:val="36"/>
          <w:szCs w:val="36"/>
          <w14:textFill>
            <w14:solidFill>
              <w14:schemeClr w14:val="tx1"/>
            </w14:solidFill>
          </w14:textFill>
        </w:rPr>
        <w:t>企业简介</w:t>
      </w:r>
      <w:bookmarkEnd w:id="67"/>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惠州市德赛电池有限公司成立于2002年10月22日。自成立以来，公司始终致力于锂电池相关产品的研发、制造与销售，不断追求电池核心技术的创新和突破。同时，积极开展终端电子产品的智能装配业务。公司产品广泛应用于智能手机、笔记本电脑、医疗器械、电动自行车、平衡车、汽车启停、无人机、储能、智能物联等终端产品和设备。</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德赛电池拥有行业领先的锂电池开发设计与高端封装技术、高端智能硬件装配工艺技术，建有现代化的自动化生产工厂和高规格的电池性能测试实验室。</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与此同时，公司与国内外众多一流电芯厂商及其他材料厂商深度合作，并与之形成了良好的资源互补优势，使公司整体上具备强大的资源整合能力和成本控制能力。</w:t>
      </w:r>
      <w:r>
        <w:rPr>
          <w:rFonts w:ascii="微软雅黑" w:hAnsi="微软雅黑" w:eastAsia="微软雅黑" w:cs="微软雅黑"/>
          <w:color w:val="323232"/>
          <w:sz w:val="22"/>
          <w:szCs w:val="22"/>
          <w:shd w:val="clear" w:color="auto" w:fill="FFFFFF"/>
        </w:rPr>
        <w:drawing>
          <wp:inline distT="0" distB="0" distL="114300" distR="114300">
            <wp:extent cx="304800" cy="304800"/>
            <wp:effectExtent l="0" t="0" r="0" b="0"/>
            <wp:docPr id="3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r>
        <w:rPr>
          <w:rFonts w:ascii="微软雅黑" w:hAnsi="微软雅黑" w:eastAsia="微软雅黑" w:cs="微软雅黑"/>
          <w:color w:val="323232"/>
          <w:sz w:val="22"/>
          <w:szCs w:val="22"/>
          <w:shd w:val="clear" w:color="auto" w:fill="FFFFFF"/>
        </w:rPr>
        <w:drawing>
          <wp:inline distT="0" distB="0" distL="114300" distR="114300">
            <wp:extent cx="304800" cy="304800"/>
            <wp:effectExtent l="0" t="0" r="0" b="0"/>
            <wp:docPr id="4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IMG_256"/>
                    <pic:cNvPicPr>
                      <a:picLocks noChangeAspect="1"/>
                    </pic:cNvPicPr>
                  </pic:nvPicPr>
                  <pic:blipFill>
                    <a:blip r:embed="rId14"/>
                    <a:stretch>
                      <a:fillRect/>
                    </a:stretch>
                  </pic:blipFill>
                  <pic:spPr>
                    <a:xfrm>
                      <a:off x="0" y="0"/>
                      <a:ext cx="304800" cy="304800"/>
                    </a:xfrm>
                    <a:prstGeom prst="rect">
                      <a:avLst/>
                    </a:prstGeom>
                    <a:noFill/>
                    <a:ln w="9525">
                      <a:noFill/>
                    </a:ln>
                  </pic:spPr>
                </pic:pic>
              </a:graphicData>
            </a:graphic>
          </wp:inline>
        </w:drawing>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r>
        <w:rPr>
          <w:rFonts w:hint="eastAsia" w:ascii="微软雅黑" w:hAnsi="微软雅黑" w:eastAsia="微软雅黑" w:cs="微软雅黑"/>
          <w:color w:val="323232"/>
          <w:sz w:val="22"/>
          <w:szCs w:val="22"/>
          <w:shd w:val="clear" w:color="auto" w:fill="FFFFFF"/>
        </w:rPr>
        <w:t>德赛电池拥有惠州仲恺、惠州惠南、长沙望城、越南北江等多个工业园区，已形成配套设施齐全、装备先进、管理精益的现代化制造体系，来满足全球客户的快速需求。德赛电池秉承德赛集团“奋斗文化、诚信文化、协同文化、创新文化、绩效文化”，以“勤勉诚信、开放共享、创新高效”为企业核心价值观，致力于成为全球一流的新能源解决方案提供商及相关电子产品专业制造商。</w:t>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68" w:name="_Toc12078"/>
      <w:r>
        <w:rPr>
          <w:rFonts w:ascii="黑体" w:hAnsi="黑体" w:eastAsia="黑体"/>
          <w:b/>
          <w:bCs/>
          <w:color w:val="000000" w:themeColor="text1"/>
          <w:w w:val="80"/>
          <w:sz w:val="36"/>
          <w:szCs w:val="36"/>
          <w14:textFill>
            <w14:solidFill>
              <w14:schemeClr w14:val="tx1"/>
            </w14:solidFill>
          </w14:textFill>
        </w:rPr>
        <w:t>广州粤嵌通信科技股份有限公司湖南分公司</w:t>
      </w:r>
      <w:bookmarkEnd w:id="68"/>
    </w:p>
    <w:p>
      <w:pPr>
        <w:jc w:val="center"/>
        <w:rPr>
          <w:rFonts w:ascii="黑体" w:hAnsi="黑体" w:eastAsia="黑体"/>
          <w:b/>
          <w:bCs/>
          <w:color w:val="000000" w:themeColor="text1"/>
          <w:w w:val="80"/>
          <w:sz w:val="36"/>
          <w:szCs w:val="36"/>
          <w14:textFill>
            <w14:solidFill>
              <w14:schemeClr w14:val="tx1"/>
            </w14:solidFill>
          </w14:textFill>
        </w:rPr>
      </w:pPr>
      <w:bookmarkStart w:id="69" w:name="_Toc17334"/>
      <w:r>
        <w:rPr>
          <w:rFonts w:ascii="黑体" w:hAnsi="黑体" w:eastAsia="黑体"/>
          <w:b/>
          <w:bCs/>
          <w:color w:val="000000" w:themeColor="text1"/>
          <w:w w:val="80"/>
          <w:sz w:val="36"/>
          <w:szCs w:val="36"/>
          <w14:textFill>
            <w14:solidFill>
              <w14:schemeClr w14:val="tx1"/>
            </w14:solidFill>
          </w14:textFill>
        </w:rPr>
        <w:t>企业简介</w:t>
      </w:r>
      <w:bookmarkEnd w:id="69"/>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2"/>
          <w:shd w:val="clear" w:color="auto" w:fill="FFFFFF"/>
        </w:rPr>
      </w:pPr>
      <w:r>
        <w:rPr>
          <w:rFonts w:hint="eastAsia" w:ascii="微软雅黑" w:hAnsi="微软雅黑" w:eastAsia="微软雅黑" w:cs="微软雅黑"/>
          <w:color w:val="323232"/>
          <w:sz w:val="24"/>
          <w:szCs w:val="22"/>
          <w:shd w:val="clear" w:color="auto" w:fill="FFFFFF"/>
        </w:rPr>
        <w:t>广州粤嵌通信科技股份有限公司（简称粤嵌科技）。主要从事物联网终端、人工智能、大数据、智能制造等新一代信息技术产品研发及技术服务业务的产教融合型国家高新技术企业，为业界提供全面的物联网智能终端、智能控制器、工业大数据平台等产品、解决方案和技术服务，拥有多项核心专利和自主研发技术。粤嵌科技总部设于广州科学城，在湖南、湖北、重庆、四川、陕西等地开设分子公司，与国内外1000多家科技企业、科研院所及高等院校建立了良好的合作关系，拥有国家高新技术企业、教育部产学合作协同育人项目合作单位、科技部备案国家级众创空间、教育部1+X培训评价组织、工信部信息化人才培养基地、广东省专精特新企业、广东省产教融合型企业、广东省职业技能等级认定社会培训评价组织和广州市双创示范基地等数十项荣誉与资质。</w:t>
      </w:r>
    </w:p>
    <w:p>
      <w:pPr>
        <w:widowControl/>
        <w:jc w:val="left"/>
        <w:rPr>
          <w:rFonts w:ascii="微软雅黑" w:hAnsi="微软雅黑" w:eastAsia="微软雅黑" w:cs="微软雅黑"/>
          <w:color w:val="323232"/>
          <w:sz w:val="24"/>
          <w:szCs w:val="22"/>
          <w:shd w:val="clear" w:color="auto" w:fill="FFFFFF"/>
        </w:rPr>
      </w:pPr>
      <w:r>
        <w:rPr>
          <w:rFonts w:ascii="微软雅黑" w:hAnsi="微软雅黑" w:eastAsia="微软雅黑" w:cs="微软雅黑"/>
          <w:color w:val="323232"/>
          <w:sz w:val="24"/>
          <w:szCs w:val="22"/>
          <w:shd w:val="clear" w:color="auto" w:fill="FFFFFF"/>
        </w:rPr>
        <w:br w:type="page"/>
      </w: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70" w:name="_Toc31232"/>
      <w:r>
        <w:rPr>
          <w:rFonts w:ascii="黑体" w:hAnsi="黑体" w:eastAsia="黑体"/>
          <w:b/>
          <w:bCs/>
          <w:color w:val="000000" w:themeColor="text1"/>
          <w:w w:val="80"/>
          <w:sz w:val="36"/>
          <w:szCs w:val="36"/>
          <w14:textFill>
            <w14:solidFill>
              <w14:schemeClr w14:val="tx1"/>
            </w14:solidFill>
          </w14:textFill>
        </w:rPr>
        <w:t>深圳市正德智控股份有限公司</w:t>
      </w:r>
      <w:bookmarkEnd w:id="70"/>
    </w:p>
    <w:p>
      <w:pPr>
        <w:jc w:val="center"/>
        <w:rPr>
          <w:rFonts w:ascii="黑体" w:hAnsi="黑体" w:eastAsia="黑体"/>
          <w:b/>
          <w:bCs/>
          <w:color w:val="000000" w:themeColor="text1"/>
          <w:w w:val="80"/>
          <w:sz w:val="36"/>
          <w:szCs w:val="36"/>
          <w14:textFill>
            <w14:solidFill>
              <w14:schemeClr w14:val="tx1"/>
            </w14:solidFill>
          </w14:textFill>
        </w:rPr>
      </w:pPr>
      <w:bookmarkStart w:id="71" w:name="_Toc32304"/>
      <w:r>
        <w:rPr>
          <w:rFonts w:ascii="黑体" w:hAnsi="黑体" w:eastAsia="黑体"/>
          <w:b/>
          <w:bCs/>
          <w:color w:val="000000" w:themeColor="text1"/>
          <w:w w:val="80"/>
          <w:sz w:val="36"/>
          <w:szCs w:val="36"/>
          <w14:textFill>
            <w14:solidFill>
              <w14:schemeClr w14:val="tx1"/>
            </w14:solidFill>
          </w14:textFill>
        </w:rPr>
        <w:t>企业简介</w:t>
      </w:r>
      <w:bookmarkEnd w:id="71"/>
    </w:p>
    <w:p>
      <w:pPr>
        <w:pStyle w:val="2"/>
      </w:pPr>
    </w:p>
    <w:p>
      <w:pPr>
        <w:widowControl/>
        <w:spacing w:line="360" w:lineRule="exact"/>
        <w:ind w:firstLine="480" w:firstLineChars="200"/>
        <w:jc w:val="left"/>
        <w:rPr>
          <w:rFonts w:ascii="微软雅黑" w:hAnsi="微软雅黑" w:eastAsia="微软雅黑" w:cs="微软雅黑"/>
          <w:color w:val="323232"/>
          <w:sz w:val="24"/>
          <w:szCs w:val="22"/>
          <w:shd w:val="clear" w:color="auto" w:fill="FFFFFF"/>
        </w:rPr>
      </w:pPr>
      <w:r>
        <w:rPr>
          <w:rFonts w:hint="eastAsia" w:ascii="微软雅黑" w:hAnsi="微软雅黑" w:eastAsia="微软雅黑" w:cs="微软雅黑"/>
          <w:color w:val="323232"/>
          <w:sz w:val="24"/>
          <w:szCs w:val="22"/>
          <w:shd w:val="clear" w:color="auto" w:fill="FFFFFF"/>
        </w:rPr>
        <w:t>正德智控现有厂房面积约26,000多平方米，净资产过亿，在职员工近千人，生产线30多条，年产量达3500万台以上。公司先后通过了ISO9001、IATF16949、ISO14001等质量体系认证，并不断利用技术和零部件制造上的优势开发出品质优良、性价比高的电机产品。公司始终坚持“以人为本，以质取胜”的方针，产品质量合格率超过了99%。产品销售覆盖环球二十几个地区，并得到客户的广泛好评。目前公司主营产品有精密永磁步进电机、永磁直流有刷/无刷电机、精密减速电机、旋转变压器等多种微特电机产品，以及跑步机电机控制系统、收藏火车模型、电动吸奶器等机电一体化产品。产品广泛应用于安防系统、金融系统、工业控制系统、车载系统、零售服务及办公自动化等领域。同时正德智控还为客户提供个性化微电机产品应用解决方案。正德智控力争产品优异化、多元化、差异化，努力打造电机行业的指导型企业，在短短的时间内，已经将“MAINTEX”品牌塑造成为具有高认可度的精密智能控制系统品牌。</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72" w:name="_Toc13415"/>
      <w:r>
        <w:rPr>
          <w:rFonts w:ascii="黑体" w:hAnsi="黑体" w:eastAsia="黑体"/>
          <w:b/>
          <w:bCs/>
          <w:color w:val="000000" w:themeColor="text1"/>
          <w:w w:val="80"/>
          <w:sz w:val="36"/>
          <w:szCs w:val="36"/>
          <w14:textFill>
            <w14:solidFill>
              <w14:schemeClr w14:val="tx1"/>
            </w14:solidFill>
          </w14:textFill>
        </w:rPr>
        <w:t>衡阳市博远电子科技有限公司</w:t>
      </w:r>
      <w:bookmarkEnd w:id="72"/>
    </w:p>
    <w:p>
      <w:pPr>
        <w:jc w:val="center"/>
        <w:rPr>
          <w:rFonts w:ascii="黑体" w:hAnsi="黑体" w:eastAsia="黑体"/>
          <w:b/>
          <w:bCs/>
          <w:color w:val="000000" w:themeColor="text1"/>
          <w:w w:val="80"/>
          <w:sz w:val="36"/>
          <w:szCs w:val="36"/>
          <w14:textFill>
            <w14:solidFill>
              <w14:schemeClr w14:val="tx1"/>
            </w14:solidFill>
          </w14:textFill>
        </w:rPr>
      </w:pPr>
      <w:bookmarkStart w:id="73" w:name="_Toc24987"/>
      <w:r>
        <w:rPr>
          <w:rFonts w:ascii="黑体" w:hAnsi="黑体" w:eastAsia="黑体"/>
          <w:b/>
          <w:bCs/>
          <w:color w:val="000000" w:themeColor="text1"/>
          <w:w w:val="80"/>
          <w:sz w:val="36"/>
          <w:szCs w:val="36"/>
          <w14:textFill>
            <w14:solidFill>
              <w14:schemeClr w14:val="tx1"/>
            </w14:solidFill>
          </w14:textFill>
        </w:rPr>
        <w:t>企业简介</w:t>
      </w:r>
      <w:bookmarkEnd w:id="73"/>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衡阳市博远电子科技有限公司（以下简称博远科技）成立于2012年，是—家专注于提供智能信息化系统解决方案的前沿创新高科技企业。公司座落于衡阳市创新中心，行业内影响广泛、技术力量雄厚，被政府认定为"高新技术企业"。</w:t>
      </w: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公司秉持以客户为中心，人才强企，诚信立业的经营原则。荟萃业界精英，将先进的信息化技术转化为用户投资价值，激发企业活力，持续提升竞争力，实现企业快速稳定地发展。</w:t>
      </w:r>
    </w:p>
    <w:p>
      <w:pPr>
        <w:widowControl/>
        <w:spacing w:line="360" w:lineRule="exact"/>
        <w:ind w:firstLine="480" w:firstLineChars="200"/>
        <w:jc w:val="left"/>
        <w:rPr>
          <w:rFonts w:ascii="微软雅黑" w:hAnsi="微软雅黑" w:eastAsia="微软雅黑" w:cs="微软雅黑"/>
          <w:color w:val="323232"/>
          <w:sz w:val="24"/>
          <w:szCs w:val="28"/>
          <w:shd w:val="clear" w:color="auto" w:fill="FFFFFF"/>
        </w:rPr>
      </w:pPr>
      <w:r>
        <w:rPr>
          <w:rFonts w:hint="eastAsia" w:ascii="微软雅黑" w:hAnsi="微软雅黑" w:eastAsia="微软雅黑" w:cs="微软雅黑"/>
          <w:color w:val="323232"/>
          <w:sz w:val="24"/>
          <w:szCs w:val="28"/>
          <w:shd w:val="clear" w:color="auto" w:fill="FFFFFF"/>
        </w:rPr>
        <w:t>公司以专业、专注作为工作信条，倡导"博以致远，信达天下"的企业文化，上联行业源头供应商，下达忠实信赖用户；以"持续为客户创造价值，做服务用户的先行者"为使命，坚持"技术创新推动行业发展，团队同心引导智慧生活"为经营理念；坚守"博远"发展战略，专注工程集成质量，打造行业卓越品牌。</w:t>
      </w:r>
    </w:p>
    <w:p>
      <w:pPr>
        <w:widowControl/>
        <w:spacing w:line="360" w:lineRule="exact"/>
        <w:ind w:firstLine="560" w:firstLineChars="200"/>
        <w:jc w:val="left"/>
        <w:rPr>
          <w:rFonts w:ascii="微软雅黑" w:hAnsi="微软雅黑" w:eastAsia="微软雅黑" w:cs="微软雅黑"/>
          <w:color w:val="323232"/>
          <w:sz w:val="28"/>
          <w:szCs w:val="28"/>
          <w:shd w:val="clear" w:color="auto" w:fill="FFFFFF"/>
        </w:rPr>
      </w:pP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rPr>
          <w:rFonts w:ascii="微软雅黑" w:hAnsi="微软雅黑" w:eastAsia="微软雅黑" w:cs="微软雅黑"/>
          <w:color w:val="323232"/>
          <w:sz w:val="22"/>
          <w:szCs w:val="22"/>
          <w:shd w:val="clear" w:color="auto" w:fill="FFFFFF"/>
        </w:rPr>
        <w:br w:type="page"/>
      </w:r>
      <w:r>
        <w:drawing>
          <wp:inline distT="0" distB="0" distL="0" distR="0">
            <wp:extent cx="2310765" cy="39624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74" w:name="_Toc25066"/>
      <w:r>
        <w:rPr>
          <w:rFonts w:ascii="黑体" w:hAnsi="黑体" w:eastAsia="黑体"/>
          <w:b/>
          <w:bCs/>
          <w:color w:val="000000" w:themeColor="text1"/>
          <w:w w:val="80"/>
          <w:sz w:val="36"/>
          <w:szCs w:val="36"/>
          <w14:textFill>
            <w14:solidFill>
              <w14:schemeClr w14:val="tx1"/>
            </w14:solidFill>
          </w14:textFill>
        </w:rPr>
        <w:t>桂林广陆数字测控有限公司</w:t>
      </w:r>
      <w:bookmarkEnd w:id="74"/>
    </w:p>
    <w:p>
      <w:pPr>
        <w:jc w:val="center"/>
        <w:rPr>
          <w:rFonts w:ascii="黑体" w:hAnsi="黑体" w:eastAsia="黑体"/>
          <w:b/>
          <w:bCs/>
          <w:color w:val="000000" w:themeColor="text1"/>
          <w:w w:val="80"/>
          <w:sz w:val="36"/>
          <w:szCs w:val="36"/>
          <w14:textFill>
            <w14:solidFill>
              <w14:schemeClr w14:val="tx1"/>
            </w14:solidFill>
          </w14:textFill>
        </w:rPr>
      </w:pPr>
      <w:bookmarkStart w:id="75" w:name="_Toc8940"/>
      <w:r>
        <w:rPr>
          <w:rFonts w:ascii="黑体" w:hAnsi="黑体" w:eastAsia="黑体"/>
          <w:b/>
          <w:bCs/>
          <w:color w:val="000000" w:themeColor="text1"/>
          <w:w w:val="80"/>
          <w:sz w:val="36"/>
          <w:szCs w:val="36"/>
          <w14:textFill>
            <w14:solidFill>
              <w14:schemeClr w14:val="tx1"/>
            </w14:solidFill>
          </w14:textFill>
        </w:rPr>
        <w:t>企业简介</w:t>
      </w:r>
      <w:bookmarkEnd w:id="75"/>
    </w:p>
    <w:p>
      <w:pPr>
        <w:jc w:val="center"/>
        <w:rPr>
          <w:rFonts w:ascii="黑体" w:hAnsi="黑体" w:eastAsia="黑体"/>
          <w:b/>
          <w:bCs/>
          <w:color w:val="000000" w:themeColor="text1"/>
          <w:w w:val="80"/>
          <w:sz w:val="36"/>
          <w:szCs w:val="36"/>
          <w14:textFill>
            <w14:solidFill>
              <w14:schemeClr w14:val="tx1"/>
            </w14:solidFill>
          </w14:textFill>
        </w:rPr>
      </w:pP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 xml:space="preserve">桂林广陆数字测控有限公司简称 “广陆数测”, 是一家集科研、生产、销售为一体的高端数显量具量仪制造企业，现任中国机床工具工业协会常务理事单位，曾任中国机床工具工业协会数显装置分会理事长单位，全国量具量仪标准化技术委员会数显分标委会秘书长单位。 </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广陆公司产品已覆盖到全系列高精度工业尺寸测量产品及测量解决方案，具体为：电子数显、精密机械类卡尺系列产品；电子数显、精密机械类千分尺系列产品；电子数显、精密机械类指示表系列产品；其它智能化、数字化精密仪器仪表系列产品；一站式整体测量解决方案；智能装备、数字化工厂建设解决方案。</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2"/>
          <w:szCs w:val="22"/>
          <w:shd w:val="clear" w:color="auto" w:fill="FFFFFF"/>
        </w:rPr>
        <w:t>公司为高新技术企业、国家级专精特新“小巨人”企业、广西创新型企业、广西技术创新示范企业、广西智能工厂示范企业，先后获得了广西五一劳动奖状、广西出口名牌、广西质量管理标杆、桂林市第五届市长质量奖、桂林市创新工业企业等各种荣誉和奖励。 “广陆”牌数显卡尺系列产品被评为“广西名牌产品”，“广陆”“GuangLu”商标为“广西著名商标”。公司数显核心技术达到国际同步、国内先进水平，其中绝对原点位移传感器、防水（IP67）位移传感器技术达到世界先进水平。</w:t>
      </w:r>
    </w:p>
    <w:p>
      <w:pPr>
        <w:widowControl/>
        <w:spacing w:line="360" w:lineRule="exact"/>
        <w:ind w:firstLine="440" w:firstLineChars="200"/>
        <w:jc w:val="left"/>
        <w:rPr>
          <w:rFonts w:ascii="微软雅黑" w:hAnsi="微软雅黑" w:eastAsia="微软雅黑" w:cs="微软雅黑"/>
          <w:color w:val="323232"/>
          <w:sz w:val="22"/>
          <w:szCs w:val="22"/>
          <w:shd w:val="clear" w:color="auto" w:fill="FFFFFF"/>
        </w:rPr>
        <w:sectPr>
          <w:pgSz w:w="8392" w:h="11907"/>
          <w:pgMar w:top="1134" w:right="1021" w:bottom="1134" w:left="1304" w:header="851" w:footer="992" w:gutter="0"/>
          <w:cols w:space="425" w:num="1"/>
          <w:docGrid w:type="lines" w:linePitch="312" w:charSpace="0"/>
        </w:sectPr>
      </w:pPr>
    </w:p>
    <w:p>
      <w:pPr>
        <w:widowControl/>
        <w:jc w:val="center"/>
        <w:rPr>
          <w:rFonts w:ascii="华文琥珀" w:hAnsi="华文中宋" w:eastAsia="华文琥珀"/>
          <w:b/>
          <w:bCs/>
          <w:color w:val="000000" w:themeColor="text1"/>
          <w:w w:val="80"/>
          <w:sz w:val="30"/>
          <w:szCs w:val="30"/>
          <w14:textFill>
            <w14:solidFill>
              <w14:schemeClr w14:val="tx1"/>
            </w14:solidFill>
          </w14:textFill>
        </w:rPr>
      </w:pPr>
      <w:r>
        <w:drawing>
          <wp:inline distT="0" distB="0" distL="0" distR="0">
            <wp:extent cx="2310765" cy="396240"/>
            <wp:effectExtent l="0" t="0" r="1333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0765" cy="396240"/>
                    </a:xfrm>
                    <a:prstGeom prst="rect">
                      <a:avLst/>
                    </a:prstGeom>
                    <a:noFill/>
                  </pic:spPr>
                </pic:pic>
              </a:graphicData>
            </a:graphic>
          </wp:inline>
        </w:drawing>
      </w:r>
    </w:p>
    <w:p>
      <w:pPr>
        <w:jc w:val="center"/>
        <w:rPr>
          <w:rFonts w:ascii="黑体" w:hAnsi="黑体" w:eastAsia="黑体"/>
          <w:b/>
          <w:bCs/>
          <w:color w:val="000000" w:themeColor="text1"/>
          <w:w w:val="80"/>
          <w:sz w:val="36"/>
          <w:szCs w:val="36"/>
          <w14:textFill>
            <w14:solidFill>
              <w14:schemeClr w14:val="tx1"/>
            </w14:solidFill>
          </w14:textFill>
        </w:rPr>
      </w:pPr>
      <w:bookmarkStart w:id="76" w:name="_Toc19718"/>
      <w:r>
        <w:rPr>
          <w:rFonts w:ascii="黑体" w:hAnsi="黑体" w:eastAsia="黑体"/>
          <w:b/>
          <w:bCs/>
          <w:color w:val="000000" w:themeColor="text1"/>
          <w:w w:val="80"/>
          <w:sz w:val="36"/>
          <w:szCs w:val="36"/>
          <w14:textFill>
            <w14:solidFill>
              <w14:schemeClr w14:val="tx1"/>
            </w14:solidFill>
          </w14:textFill>
        </w:rPr>
        <w:t>江西省通讯终端产业技术研究院</w:t>
      </w:r>
      <w:bookmarkEnd w:id="76"/>
    </w:p>
    <w:p>
      <w:pPr>
        <w:jc w:val="center"/>
        <w:rPr>
          <w:rFonts w:ascii="黑体" w:hAnsi="黑体" w:eastAsia="黑体"/>
          <w:b/>
          <w:bCs/>
          <w:color w:val="000000" w:themeColor="text1"/>
          <w:w w:val="80"/>
          <w:sz w:val="36"/>
          <w:szCs w:val="36"/>
          <w14:textFill>
            <w14:solidFill>
              <w14:schemeClr w14:val="tx1"/>
            </w14:solidFill>
          </w14:textFill>
        </w:rPr>
      </w:pPr>
      <w:bookmarkStart w:id="77" w:name="_Toc11910"/>
      <w:r>
        <w:rPr>
          <w:rFonts w:ascii="黑体" w:hAnsi="黑体" w:eastAsia="黑体"/>
          <w:b/>
          <w:bCs/>
          <w:color w:val="000000" w:themeColor="text1"/>
          <w:w w:val="80"/>
          <w:sz w:val="36"/>
          <w:szCs w:val="36"/>
          <w14:textFill>
            <w14:solidFill>
              <w14:schemeClr w14:val="tx1"/>
            </w14:solidFill>
          </w14:textFill>
        </w:rPr>
        <w:t>企业简介</w:t>
      </w:r>
      <w:bookmarkEnd w:id="77"/>
    </w:p>
    <w:p>
      <w:pPr>
        <w:widowControl/>
        <w:jc w:val="left"/>
      </w:pPr>
    </w:p>
    <w:p>
      <w:pPr>
        <w:widowControl/>
        <w:spacing w:line="360" w:lineRule="exact"/>
        <w:ind w:firstLine="480" w:firstLineChars="200"/>
        <w:jc w:val="left"/>
        <w:rPr>
          <w:rFonts w:ascii="微软雅黑" w:hAnsi="微软雅黑" w:eastAsia="微软雅黑" w:cs="微软雅黑"/>
          <w:color w:val="323232"/>
          <w:sz w:val="24"/>
          <w:szCs w:val="22"/>
          <w:shd w:val="clear" w:color="auto" w:fill="FFFFFF"/>
        </w:rPr>
      </w:pPr>
      <w:r>
        <w:rPr>
          <w:rFonts w:hint="eastAsia" w:ascii="微软雅黑" w:hAnsi="微软雅黑" w:eastAsia="微软雅黑" w:cs="微软雅黑"/>
          <w:color w:val="323232"/>
          <w:sz w:val="24"/>
          <w:szCs w:val="22"/>
          <w:shd w:val="clear" w:color="auto" w:fill="FFFFFF"/>
        </w:rPr>
        <w:t>江西省通讯终端产业技术研究院（与吉安市电子信息研究院合署办公）于2018年12月由江西省工信厅批复设立，由井冈山经济技术开发区牵头组建，2019年3月注册成立江西省通讯终端产业研究院有限公司。2021年3月与湖南大学共建的“吉安市机器人智能感知与高端装备联合研发中心”正式成立，由王耀南院士担任主任，对研发中心进行全面管理和技术设计。</w:t>
      </w:r>
    </w:p>
    <w:p>
      <w:pPr>
        <w:widowControl/>
        <w:spacing w:line="360" w:lineRule="exact"/>
        <w:ind w:firstLine="480" w:firstLineChars="200"/>
        <w:jc w:val="left"/>
        <w:rPr>
          <w:rFonts w:ascii="微软雅黑" w:hAnsi="微软雅黑" w:eastAsia="微软雅黑" w:cs="微软雅黑"/>
          <w:color w:val="323232"/>
          <w:sz w:val="22"/>
          <w:szCs w:val="22"/>
          <w:shd w:val="clear" w:color="auto" w:fill="FFFFFF"/>
        </w:rPr>
      </w:pPr>
      <w:r>
        <w:rPr>
          <w:rFonts w:hint="eastAsia" w:ascii="微软雅黑" w:hAnsi="微软雅黑" w:eastAsia="微软雅黑" w:cs="微软雅黑"/>
          <w:color w:val="323232"/>
          <w:sz w:val="24"/>
          <w:szCs w:val="22"/>
          <w:shd w:val="clear" w:color="auto" w:fill="FFFFFF"/>
        </w:rPr>
        <w:t>研究院锚定助力吉安市电子信息首位产业发展目标，定位于集产业发展研究规划、科技成果转化、科研资源整合为一体的公共服务平台。定点为完成以机器人视觉感知技术、智能控制技术、工业互联网技术和信息化技术为核心的服务平台建设，支撑企业工艺改造、智能化、自动化、网络化升级；完成一批吉安研发中心研发成果在吉安实现转移转化和产业化；建立起一支“永远带不走”的产业技术人才队伍，为电子信息首位产业发展提供智力支持。</w:t>
      </w:r>
      <w:r>
        <w:rPr>
          <w:rFonts w:ascii="微软雅黑" w:hAnsi="微软雅黑" w:eastAsia="微软雅黑" w:cs="微软雅黑"/>
          <w:color w:val="323232"/>
          <w:sz w:val="24"/>
          <w:szCs w:val="22"/>
          <w:shd w:val="clear" w:color="auto" w:fill="FFFFFF"/>
        </w:rPr>
        <w:br w:type="page"/>
      </w:r>
    </w:p>
    <w:p>
      <w:pPr>
        <w:jc w:val="center"/>
      </w:pPr>
      <w:r>
        <w:rPr>
          <w:rFonts w:hint="eastAsia" w:ascii="方正准圆简体" w:hAnsi="宋体" w:eastAsia="方正准圆简体" w:cs="宋体"/>
          <w:color w:val="000000" w:themeColor="text1"/>
          <w:sz w:val="18"/>
          <w:szCs w:val="18"/>
          <w:shd w:val="clear" w:color="auto" w:fill="FFFFFF"/>
          <w14:textFill>
            <w14:solidFill>
              <w14:schemeClr w14:val="tx1"/>
            </w14:solidFill>
          </w14:textFill>
        </w:rPr>
        <w:drawing>
          <wp:inline distT="0" distB="0" distL="114300" distR="114300">
            <wp:extent cx="2312035" cy="394335"/>
            <wp:effectExtent l="0" t="0" r="12065" b="5715"/>
            <wp:docPr id="2" name="图片 2"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字-蓝色"/>
                    <pic:cNvPicPr>
                      <a:picLocks noChangeAspect="1"/>
                    </pic:cNvPicPr>
                  </pic:nvPicPr>
                  <pic:blipFill>
                    <a:blip r:embed="rId6"/>
                    <a:srcRect l="6192" t="14621" r="5248" b="13995"/>
                    <a:stretch>
                      <a:fillRect/>
                    </a:stretch>
                  </pic:blipFill>
                  <pic:spPr>
                    <a:xfrm>
                      <a:off x="0" y="0"/>
                      <a:ext cx="2312035" cy="394335"/>
                    </a:xfrm>
                    <a:prstGeom prst="rect">
                      <a:avLst/>
                    </a:prstGeom>
                  </pic:spPr>
                </pic:pic>
              </a:graphicData>
            </a:graphic>
          </wp:inline>
        </w:drawing>
      </w:r>
    </w:p>
    <w:p>
      <w:pPr>
        <w:pStyle w:val="18"/>
        <w:rPr>
          <w:rFonts w:hint="default"/>
        </w:rPr>
      </w:pPr>
      <w:bookmarkStart w:id="78" w:name="_Toc151649382"/>
      <w:bookmarkStart w:id="79" w:name="_Toc151656229"/>
      <w:r>
        <w:t>2024届毕业生校园招聘会期间天气</w:t>
      </w:r>
      <w:bookmarkEnd w:id="78"/>
      <w:r>
        <w:t>情况</w:t>
      </w:r>
      <w:bookmarkEnd w:id="79"/>
    </w:p>
    <w:p>
      <w:pPr>
        <w:jc w:val="center"/>
        <w:rPr>
          <w:rFonts w:ascii="楷体_GB2312" w:eastAsia="楷体_GB2312"/>
          <w:color w:val="0070C0"/>
          <w:sz w:val="32"/>
          <w:szCs w:val="32"/>
        </w:rPr>
      </w:pPr>
      <w:r>
        <w:rPr>
          <w:rFonts w:hint="eastAsia" w:ascii="楷体_GB2312" w:eastAsia="楷体_GB2312"/>
          <w:color w:val="0070C0"/>
          <w:sz w:val="32"/>
          <w:szCs w:val="32"/>
        </w:rPr>
        <w:t>（衡阳市区）</w:t>
      </w:r>
    </w:p>
    <w:p>
      <w:pPr>
        <w:spacing w:line="240" w:lineRule="exact"/>
        <w:jc w:val="center"/>
        <w:rPr>
          <w:rFonts w:ascii="楷体_GB2312" w:eastAsia="楷体_GB2312"/>
          <w:color w:val="0070C0"/>
          <w:sz w:val="32"/>
          <w:szCs w:val="32"/>
        </w:rPr>
      </w:pPr>
    </w:p>
    <w:tbl>
      <w:tblPr>
        <w:tblStyle w:val="9"/>
        <w:tblW w:w="6111" w:type="dxa"/>
        <w:jc w:val="center"/>
        <w:tblBorders>
          <w:top w:val="none" w:color="auto" w:sz="0" w:space="0"/>
          <w:left w:val="none" w:color="auto" w:sz="0" w:space="0"/>
          <w:bottom w:val="single" w:color="AADDFF" w:sz="6"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992"/>
        <w:gridCol w:w="1175"/>
        <w:gridCol w:w="975"/>
        <w:gridCol w:w="1155"/>
        <w:gridCol w:w="945"/>
        <w:gridCol w:w="869"/>
      </w:tblGrid>
      <w:tr>
        <w:tblPrEx>
          <w:tblBorders>
            <w:top w:val="none" w:color="auto" w:sz="0" w:space="0"/>
            <w:left w:val="none" w:color="auto" w:sz="0" w:space="0"/>
            <w:bottom w:val="single" w:color="AADDFF"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blHeader/>
          <w:jc w:val="center"/>
        </w:trPr>
        <w:tc>
          <w:tcPr>
            <w:tcW w:w="992" w:type="dxa"/>
            <w:tcBorders>
              <w:top w:val="single" w:color="AADDFF" w:sz="6" w:space="0"/>
              <w:left w:val="single" w:color="AADDFF" w:sz="6" w:space="0"/>
              <w:bottom w:val="single" w:color="AADDFF" w:sz="6" w:space="0"/>
              <w:right w:val="single" w:color="AADDFF" w:sz="6" w:space="0"/>
            </w:tcBorders>
            <w:shd w:val="clear" w:color="auto" w:fill="E7F1FF"/>
            <w:vAlign w:val="center"/>
          </w:tcPr>
          <w:p>
            <w:pPr>
              <w:widowControl/>
              <w:jc w:val="center"/>
              <w:rPr>
                <w:rFonts w:ascii="黑体" w:hAnsi="微软雅黑" w:eastAsia="黑体" w:cs="宋体"/>
                <w:b/>
                <w:bCs/>
                <w:color w:val="000000" w:themeColor="text1"/>
                <w:sz w:val="28"/>
                <w:szCs w:val="28"/>
                <w14:textFill>
                  <w14:solidFill>
                    <w14:schemeClr w14:val="tx1"/>
                  </w14:solidFill>
                </w14:textFill>
              </w:rPr>
            </w:pPr>
            <w:r>
              <w:rPr>
                <w:rFonts w:hint="eastAsia" w:ascii="黑体" w:hAnsi="微软雅黑" w:eastAsia="黑体" w:cs="宋体"/>
                <w:b/>
                <w:bCs/>
                <w:color w:val="000000" w:themeColor="text1"/>
                <w:sz w:val="28"/>
                <w:szCs w:val="28"/>
                <w14:textFill>
                  <w14:solidFill>
                    <w14:schemeClr w14:val="tx1"/>
                  </w14:solidFill>
                </w14:textFill>
              </w:rPr>
              <w:t>日期</w:t>
            </w:r>
          </w:p>
        </w:tc>
        <w:tc>
          <w:tcPr>
            <w:tcW w:w="2150" w:type="dxa"/>
            <w:gridSpan w:val="2"/>
            <w:tcBorders>
              <w:top w:val="single" w:color="AADDFF" w:sz="6" w:space="0"/>
              <w:left w:val="single" w:color="AADDFF" w:sz="6" w:space="0"/>
              <w:bottom w:val="single" w:color="AADDFF" w:sz="6" w:space="0"/>
              <w:right w:val="single" w:color="AADDFF" w:sz="6" w:space="0"/>
            </w:tcBorders>
            <w:shd w:val="clear" w:color="auto" w:fill="E7F1FF"/>
            <w:vAlign w:val="center"/>
          </w:tcPr>
          <w:p>
            <w:pPr>
              <w:widowControl/>
              <w:jc w:val="center"/>
              <w:rPr>
                <w:rFonts w:ascii="黑体" w:hAnsi="微软雅黑" w:eastAsia="黑体" w:cs="宋体"/>
                <w:b/>
                <w:bCs/>
                <w:color w:val="000000" w:themeColor="text1"/>
                <w:sz w:val="28"/>
                <w:szCs w:val="28"/>
                <w14:textFill>
                  <w14:solidFill>
                    <w14:schemeClr w14:val="tx1"/>
                  </w14:solidFill>
                </w14:textFill>
              </w:rPr>
            </w:pPr>
            <w:r>
              <w:rPr>
                <w:rFonts w:hint="eastAsia" w:ascii="黑体" w:hAnsi="微软雅黑" w:eastAsia="黑体" w:cs="宋体"/>
                <w:b/>
                <w:bCs/>
                <w:color w:val="000000" w:themeColor="text1"/>
                <w:sz w:val="28"/>
                <w:szCs w:val="28"/>
                <w14:textFill>
                  <w14:solidFill>
                    <w14:schemeClr w14:val="tx1"/>
                  </w14:solidFill>
                </w14:textFill>
              </w:rPr>
              <w:t>天气预报</w:t>
            </w:r>
          </w:p>
        </w:tc>
        <w:tc>
          <w:tcPr>
            <w:tcW w:w="1155" w:type="dxa"/>
            <w:tcBorders>
              <w:top w:val="single" w:color="AADDFF" w:sz="6" w:space="0"/>
              <w:left w:val="single" w:color="AADDFF" w:sz="6" w:space="0"/>
              <w:bottom w:val="single" w:color="AADDFF" w:sz="6" w:space="0"/>
              <w:right w:val="single" w:color="AADDFF" w:sz="6" w:space="0"/>
            </w:tcBorders>
            <w:shd w:val="clear" w:color="auto" w:fill="E7F1FF"/>
            <w:vAlign w:val="center"/>
          </w:tcPr>
          <w:p>
            <w:pPr>
              <w:widowControl/>
              <w:jc w:val="center"/>
              <w:rPr>
                <w:rFonts w:ascii="黑体" w:hAnsi="微软雅黑" w:eastAsia="黑体" w:cs="宋体"/>
                <w:b/>
                <w:bCs/>
                <w:color w:val="000000" w:themeColor="text1"/>
                <w:sz w:val="28"/>
                <w:szCs w:val="28"/>
                <w14:textFill>
                  <w14:solidFill>
                    <w14:schemeClr w14:val="tx1"/>
                  </w14:solidFill>
                </w14:textFill>
              </w:rPr>
            </w:pPr>
            <w:r>
              <w:rPr>
                <w:rFonts w:hint="eastAsia" w:ascii="黑体" w:hAnsi="微软雅黑" w:eastAsia="黑体" w:cs="宋体"/>
                <w:b/>
                <w:bCs/>
                <w:color w:val="000000" w:themeColor="text1"/>
                <w:sz w:val="28"/>
                <w:szCs w:val="28"/>
                <w14:textFill>
                  <w14:solidFill>
                    <w14:schemeClr w14:val="tx1"/>
                  </w14:solidFill>
                </w14:textFill>
              </w:rPr>
              <w:t>气温</w:t>
            </w:r>
          </w:p>
        </w:tc>
        <w:tc>
          <w:tcPr>
            <w:tcW w:w="945" w:type="dxa"/>
            <w:tcBorders>
              <w:top w:val="single" w:color="AADDFF" w:sz="6" w:space="0"/>
              <w:left w:val="single" w:color="AADDFF" w:sz="6" w:space="0"/>
              <w:bottom w:val="single" w:color="AADDFF" w:sz="6" w:space="0"/>
              <w:right w:val="single" w:color="AADDFF" w:sz="6" w:space="0"/>
            </w:tcBorders>
            <w:shd w:val="clear" w:color="auto" w:fill="E7F1FF"/>
            <w:vAlign w:val="center"/>
          </w:tcPr>
          <w:p>
            <w:pPr>
              <w:widowControl/>
              <w:jc w:val="center"/>
              <w:rPr>
                <w:rFonts w:ascii="黑体" w:hAnsi="微软雅黑" w:eastAsia="黑体" w:cs="宋体"/>
                <w:b/>
                <w:bCs/>
                <w:color w:val="000000" w:themeColor="text1"/>
                <w:sz w:val="28"/>
                <w:szCs w:val="28"/>
                <w14:textFill>
                  <w14:solidFill>
                    <w14:schemeClr w14:val="tx1"/>
                  </w14:solidFill>
                </w14:textFill>
              </w:rPr>
            </w:pPr>
            <w:r>
              <w:rPr>
                <w:rFonts w:hint="eastAsia" w:ascii="黑体" w:hAnsi="微软雅黑" w:eastAsia="黑体" w:cs="宋体"/>
                <w:b/>
                <w:bCs/>
                <w:color w:val="000000" w:themeColor="text1"/>
                <w:sz w:val="28"/>
                <w:szCs w:val="28"/>
                <w14:textFill>
                  <w14:solidFill>
                    <w14:schemeClr w14:val="tx1"/>
                  </w14:solidFill>
                </w14:textFill>
              </w:rPr>
              <w:t>风向</w:t>
            </w:r>
          </w:p>
        </w:tc>
        <w:tc>
          <w:tcPr>
            <w:tcW w:w="869" w:type="dxa"/>
            <w:tcBorders>
              <w:top w:val="single" w:color="AADDFF" w:sz="6" w:space="0"/>
              <w:left w:val="single" w:color="AADDFF" w:sz="6" w:space="0"/>
              <w:bottom w:val="single" w:color="AADDFF" w:sz="6" w:space="0"/>
              <w:right w:val="single" w:color="AADDFF" w:sz="6" w:space="0"/>
            </w:tcBorders>
            <w:shd w:val="clear" w:color="auto" w:fill="E7F1FF"/>
            <w:vAlign w:val="center"/>
          </w:tcPr>
          <w:p>
            <w:pPr>
              <w:widowControl/>
              <w:jc w:val="center"/>
              <w:rPr>
                <w:rFonts w:ascii="黑体" w:hAnsi="微软雅黑" w:eastAsia="黑体" w:cs="宋体"/>
                <w:b/>
                <w:bCs/>
                <w:color w:val="000000" w:themeColor="text1"/>
                <w:sz w:val="28"/>
                <w:szCs w:val="28"/>
                <w14:textFill>
                  <w14:solidFill>
                    <w14:schemeClr w14:val="tx1"/>
                  </w14:solidFill>
                </w14:textFill>
              </w:rPr>
            </w:pPr>
            <w:r>
              <w:rPr>
                <w:rFonts w:hint="eastAsia" w:ascii="黑体" w:hAnsi="微软雅黑" w:eastAsia="黑体" w:cs="宋体"/>
                <w:b/>
                <w:bCs/>
                <w:color w:val="000000" w:themeColor="text1"/>
                <w:sz w:val="28"/>
                <w:szCs w:val="28"/>
                <w14:textFill>
                  <w14:solidFill>
                    <w14:schemeClr w14:val="tx1"/>
                  </w14:solidFill>
                </w14:textFill>
              </w:rPr>
              <w:t>风力</w:t>
            </w:r>
          </w:p>
        </w:tc>
      </w:tr>
      <w:tr>
        <w:tblPrEx>
          <w:tblBorders>
            <w:top w:val="none" w:color="auto" w:sz="0" w:space="0"/>
            <w:left w:val="none" w:color="auto" w:sz="0" w:space="0"/>
            <w:bottom w:val="single" w:color="AADDFF" w:sz="6"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679" w:hRule="atLeast"/>
          <w:jc w:val="center"/>
        </w:trPr>
        <w:tc>
          <w:tcPr>
            <w:tcW w:w="992"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11月</w:t>
            </w:r>
          </w:p>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24日</w:t>
            </w:r>
          </w:p>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星期五</w:t>
            </w:r>
          </w:p>
        </w:tc>
        <w:tc>
          <w:tcPr>
            <w:tcW w:w="117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color w:val="000000" w:themeColor="text1"/>
                <w:szCs w:val="21"/>
                <w14:textFill>
                  <w14:solidFill>
                    <w14:schemeClr w14:val="tx1"/>
                  </w14:solidFill>
                </w14:textFill>
              </w:rPr>
            </w:pPr>
            <w:r>
              <w:rPr>
                <w:rFonts w:hint="eastAsia" w:ascii="黑体" w:eastAsia="黑体"/>
                <w:color w:val="0070C0"/>
                <w:szCs w:val="21"/>
              </w:rPr>
              <w:drawing>
                <wp:inline distT="0" distB="0" distL="114300" distR="114300">
                  <wp:extent cx="777875" cy="784860"/>
                  <wp:effectExtent l="0" t="0" r="3175" b="15240"/>
                  <wp:docPr id="8" name="图片 8" descr="000702019762037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07020197620372_b"/>
                          <pic:cNvPicPr>
                            <a:picLocks noChangeAspect="1"/>
                          </pic:cNvPicPr>
                        </pic:nvPicPr>
                        <pic:blipFill>
                          <a:blip r:embed="rId15"/>
                          <a:srcRect l="28173" t="7235" r="51586" b="68918"/>
                          <a:stretch>
                            <a:fillRect/>
                          </a:stretch>
                        </pic:blipFill>
                        <pic:spPr>
                          <a:xfrm>
                            <a:off x="0" y="0"/>
                            <a:ext cx="777875" cy="784860"/>
                          </a:xfrm>
                          <a:prstGeom prst="rect">
                            <a:avLst/>
                          </a:prstGeom>
                        </pic:spPr>
                      </pic:pic>
                    </a:graphicData>
                  </a:graphic>
                </wp:inline>
              </w:drawing>
            </w:r>
          </w:p>
        </w:tc>
        <w:tc>
          <w:tcPr>
            <w:tcW w:w="97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spacing w:line="360" w:lineRule="exact"/>
              <w:jc w:val="center"/>
              <w:rPr>
                <w:rFonts w:ascii="黑体" w:hAnsi="微软雅黑" w:eastAsia="黑体" w:cs="Arial"/>
                <w:b/>
                <w:color w:val="000000" w:themeColor="text1"/>
                <w:sz w:val="28"/>
                <w:szCs w:val="28"/>
                <w14:textFill>
                  <w14:solidFill>
                    <w14:schemeClr w14:val="tx1"/>
                  </w14:solidFill>
                </w14:textFill>
              </w:rPr>
            </w:pPr>
            <w:r>
              <w:rPr>
                <w:rFonts w:hint="eastAsia" w:ascii="黑体" w:hAnsi="微软雅黑" w:eastAsia="黑体" w:cs="Arial"/>
                <w:b/>
                <w:color w:val="000000" w:themeColor="text1"/>
                <w:sz w:val="28"/>
                <w:szCs w:val="28"/>
                <w14:textFill>
                  <w14:solidFill>
                    <w14:schemeClr w14:val="tx1"/>
                  </w14:solidFill>
                </w14:textFill>
              </w:rPr>
              <w:t>晴转</w:t>
            </w:r>
          </w:p>
          <w:p>
            <w:pPr>
              <w:widowControl/>
              <w:spacing w:line="360" w:lineRule="exact"/>
              <w:jc w:val="center"/>
              <w:rPr>
                <w:rFonts w:ascii="黑体" w:hAnsi="微软雅黑" w:eastAsia="黑体" w:cs="Arial"/>
                <w:b/>
                <w:color w:val="000000" w:themeColor="text1"/>
                <w:sz w:val="28"/>
                <w:szCs w:val="28"/>
                <w14:textFill>
                  <w14:solidFill>
                    <w14:schemeClr w14:val="tx1"/>
                  </w14:solidFill>
                </w14:textFill>
              </w:rPr>
            </w:pPr>
            <w:r>
              <w:rPr>
                <w:rFonts w:hint="eastAsia" w:ascii="黑体" w:hAnsi="微软雅黑" w:eastAsia="黑体" w:cs="Arial"/>
                <w:b/>
                <w:color w:val="000000" w:themeColor="text1"/>
                <w:sz w:val="28"/>
                <w:szCs w:val="28"/>
                <w14:textFill>
                  <w14:solidFill>
                    <w14:schemeClr w14:val="tx1"/>
                  </w14:solidFill>
                </w14:textFill>
              </w:rPr>
              <w:t>多云</w:t>
            </w:r>
          </w:p>
        </w:tc>
        <w:tc>
          <w:tcPr>
            <w:tcW w:w="115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9°C</w:t>
            </w:r>
          </w:p>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至</w:t>
            </w:r>
          </w:p>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18°C</w:t>
            </w:r>
          </w:p>
        </w:tc>
        <w:tc>
          <w:tcPr>
            <w:tcW w:w="94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北风</w:t>
            </w:r>
          </w:p>
        </w:tc>
        <w:tc>
          <w:tcPr>
            <w:tcW w:w="869"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微风</w:t>
            </w:r>
          </w:p>
        </w:tc>
      </w:tr>
      <w:tr>
        <w:tblPrEx>
          <w:tblBorders>
            <w:top w:val="none" w:color="auto" w:sz="0" w:space="0"/>
            <w:left w:val="none" w:color="auto" w:sz="0" w:space="0"/>
            <w:bottom w:val="single" w:color="AADDFF" w:sz="6"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814" w:hRule="atLeast"/>
          <w:jc w:val="center"/>
        </w:trPr>
        <w:tc>
          <w:tcPr>
            <w:tcW w:w="992"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11月</w:t>
            </w:r>
          </w:p>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25日</w:t>
            </w:r>
          </w:p>
          <w:p>
            <w:pPr>
              <w:widowControl/>
              <w:jc w:val="center"/>
              <w:rPr>
                <w:rFonts w:ascii="黑体" w:hAnsi="微软雅黑" w:eastAsia="黑体" w:cs="Arial"/>
                <w:b/>
                <w:bCs/>
                <w:color w:val="000000" w:themeColor="text1"/>
                <w:sz w:val="24"/>
                <w14:textFill>
                  <w14:solidFill>
                    <w14:schemeClr w14:val="tx1"/>
                  </w14:solidFill>
                </w14:textFill>
              </w:rPr>
            </w:pPr>
            <w:r>
              <w:rPr>
                <w:rFonts w:hint="eastAsia" w:ascii="黑体" w:hAnsi="微软雅黑" w:eastAsia="黑体" w:cs="Arial"/>
                <w:b/>
                <w:bCs/>
                <w:color w:val="000000" w:themeColor="text1"/>
                <w:sz w:val="24"/>
                <w14:textFill>
                  <w14:solidFill>
                    <w14:schemeClr w14:val="tx1"/>
                  </w14:solidFill>
                </w14:textFill>
              </w:rPr>
              <w:t>星期六</w:t>
            </w:r>
          </w:p>
        </w:tc>
        <w:tc>
          <w:tcPr>
            <w:tcW w:w="117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eastAsia="黑体"/>
                <w:color w:val="0070C0"/>
                <w:szCs w:val="21"/>
              </w:rPr>
            </w:pPr>
            <w:r>
              <w:rPr>
                <w:rFonts w:hint="eastAsia" w:ascii="黑体" w:eastAsia="黑体"/>
                <w:color w:val="0070C0"/>
                <w:szCs w:val="21"/>
              </w:rPr>
              <w:drawing>
                <wp:inline distT="0" distB="0" distL="114300" distR="114300">
                  <wp:extent cx="777875" cy="784860"/>
                  <wp:effectExtent l="0" t="0" r="3175" b="15240"/>
                  <wp:docPr id="10" name="图片 10" descr="000702019762037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07020197620372_b"/>
                          <pic:cNvPicPr>
                            <a:picLocks noChangeAspect="1"/>
                          </pic:cNvPicPr>
                        </pic:nvPicPr>
                        <pic:blipFill>
                          <a:blip r:embed="rId15"/>
                          <a:srcRect l="28173" t="7235" r="51586" b="68918"/>
                          <a:stretch>
                            <a:fillRect/>
                          </a:stretch>
                        </pic:blipFill>
                        <pic:spPr>
                          <a:xfrm>
                            <a:off x="0" y="0"/>
                            <a:ext cx="777875" cy="784860"/>
                          </a:xfrm>
                          <a:prstGeom prst="rect">
                            <a:avLst/>
                          </a:prstGeom>
                        </pic:spPr>
                      </pic:pic>
                    </a:graphicData>
                  </a:graphic>
                </wp:inline>
              </w:drawing>
            </w:r>
          </w:p>
        </w:tc>
        <w:tc>
          <w:tcPr>
            <w:tcW w:w="97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spacing w:line="360" w:lineRule="exact"/>
              <w:jc w:val="center"/>
              <w:rPr>
                <w:rFonts w:ascii="黑体" w:hAnsi="微软雅黑" w:eastAsia="黑体" w:cs="Arial"/>
                <w:b/>
                <w:color w:val="000000" w:themeColor="text1"/>
                <w:sz w:val="28"/>
                <w:szCs w:val="28"/>
                <w14:textFill>
                  <w14:solidFill>
                    <w14:schemeClr w14:val="tx1"/>
                  </w14:solidFill>
                </w14:textFill>
              </w:rPr>
            </w:pPr>
            <w:r>
              <w:rPr>
                <w:rFonts w:hint="eastAsia" w:ascii="黑体" w:hAnsi="微软雅黑" w:eastAsia="黑体" w:cs="Arial"/>
                <w:b/>
                <w:color w:val="000000" w:themeColor="text1"/>
                <w:sz w:val="28"/>
                <w:szCs w:val="28"/>
                <w14:textFill>
                  <w14:solidFill>
                    <w14:schemeClr w14:val="tx1"/>
                  </w14:solidFill>
                </w14:textFill>
              </w:rPr>
              <w:t>晴转</w:t>
            </w:r>
          </w:p>
          <w:p>
            <w:pPr>
              <w:widowControl/>
              <w:spacing w:line="360" w:lineRule="exact"/>
              <w:jc w:val="center"/>
              <w:rPr>
                <w:rFonts w:ascii="黑体" w:hAnsi="微软雅黑" w:eastAsia="黑体" w:cs="Arial"/>
                <w:b/>
                <w:color w:val="000000" w:themeColor="text1"/>
                <w:sz w:val="28"/>
                <w:szCs w:val="28"/>
                <w14:textFill>
                  <w14:solidFill>
                    <w14:schemeClr w14:val="tx1"/>
                  </w14:solidFill>
                </w14:textFill>
              </w:rPr>
            </w:pPr>
            <w:r>
              <w:rPr>
                <w:rFonts w:hint="eastAsia" w:ascii="黑体" w:hAnsi="微软雅黑" w:eastAsia="黑体" w:cs="Arial"/>
                <w:b/>
                <w:color w:val="000000" w:themeColor="text1"/>
                <w:sz w:val="28"/>
                <w:szCs w:val="28"/>
                <w14:textFill>
                  <w14:solidFill>
                    <w14:schemeClr w14:val="tx1"/>
                  </w14:solidFill>
                </w14:textFill>
              </w:rPr>
              <w:t>多云</w:t>
            </w:r>
          </w:p>
        </w:tc>
        <w:tc>
          <w:tcPr>
            <w:tcW w:w="115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9°C</w:t>
            </w:r>
          </w:p>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至</w:t>
            </w:r>
          </w:p>
          <w:p>
            <w:pPr>
              <w:widowControl/>
              <w:spacing w:line="360" w:lineRule="exact"/>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18°C</w:t>
            </w:r>
          </w:p>
        </w:tc>
        <w:tc>
          <w:tcPr>
            <w:tcW w:w="945"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北风</w:t>
            </w:r>
          </w:p>
        </w:tc>
        <w:tc>
          <w:tcPr>
            <w:tcW w:w="869" w:type="dxa"/>
            <w:tcBorders>
              <w:top w:val="single" w:color="AADDFF" w:sz="6" w:space="0"/>
              <w:left w:val="single" w:color="AADDFF" w:sz="6" w:space="0"/>
              <w:bottom w:val="single" w:color="AADDFF" w:sz="6" w:space="0"/>
              <w:right w:val="single" w:color="AADDFF" w:sz="6" w:space="0"/>
            </w:tcBorders>
            <w:shd w:val="clear" w:color="auto" w:fill="FFFFFF"/>
            <w:vAlign w:val="center"/>
          </w:tcPr>
          <w:p>
            <w:pPr>
              <w:widowControl/>
              <w:jc w:val="center"/>
              <w:rPr>
                <w:rFonts w:ascii="黑体" w:hAnsi="微软雅黑" w:eastAsia="黑体" w:cs="Arial"/>
                <w:b/>
                <w:bCs/>
                <w:color w:val="000000" w:themeColor="text1"/>
                <w:sz w:val="28"/>
                <w:szCs w:val="28"/>
                <w14:textFill>
                  <w14:solidFill>
                    <w14:schemeClr w14:val="tx1"/>
                  </w14:solidFill>
                </w14:textFill>
              </w:rPr>
            </w:pPr>
            <w:r>
              <w:rPr>
                <w:rFonts w:hint="eastAsia" w:ascii="黑体" w:hAnsi="微软雅黑" w:eastAsia="黑体" w:cs="Arial"/>
                <w:b/>
                <w:bCs/>
                <w:color w:val="000000" w:themeColor="text1"/>
                <w:sz w:val="28"/>
                <w:szCs w:val="28"/>
                <w14:textFill>
                  <w14:solidFill>
                    <w14:schemeClr w14:val="tx1"/>
                  </w14:solidFill>
                </w14:textFill>
              </w:rPr>
              <w:t>微风</w:t>
            </w:r>
          </w:p>
        </w:tc>
      </w:tr>
    </w:tbl>
    <w:p>
      <w:pPr>
        <w:spacing w:line="40" w:lineRule="exact"/>
        <w:rPr>
          <w:rFonts w:ascii="黑体" w:eastAsia="黑体"/>
          <w:color w:val="0070C0"/>
          <w:sz w:val="10"/>
          <w:szCs w:val="10"/>
        </w:rPr>
      </w:pPr>
    </w:p>
    <w:p>
      <w:pPr>
        <w:spacing w:line="40" w:lineRule="exact"/>
        <w:rPr>
          <w:rFonts w:ascii="黑体" w:eastAsia="黑体"/>
          <w:color w:val="0070C0"/>
          <w:sz w:val="10"/>
          <w:szCs w:val="10"/>
        </w:rPr>
      </w:pPr>
    </w:p>
    <w:p>
      <w:pPr>
        <w:spacing w:line="40" w:lineRule="exact"/>
        <w:rPr>
          <w:rFonts w:ascii="黑体" w:eastAsia="黑体"/>
          <w:color w:val="0070C0"/>
          <w:sz w:val="10"/>
          <w:szCs w:val="10"/>
        </w:rPr>
      </w:pPr>
    </w:p>
    <w:p>
      <w:pPr>
        <w:spacing w:line="40" w:lineRule="exact"/>
        <w:rPr>
          <w:rFonts w:ascii="黑体" w:eastAsia="黑体"/>
          <w:color w:val="0070C0"/>
          <w:sz w:val="10"/>
          <w:szCs w:val="10"/>
        </w:rPr>
      </w:pPr>
      <w:r>
        <w:rPr>
          <w:rFonts w:ascii="宋体" w:hAnsi="宋体" w:cs="宋体"/>
          <w:sz w:val="24"/>
        </w:rPr>
        <w:drawing>
          <wp:inline distT="0" distB="0" distL="114300" distR="114300">
            <wp:extent cx="2857500" cy="1952625"/>
            <wp:effectExtent l="0" t="0" r="0"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6"/>
                    <a:stretch>
                      <a:fillRect/>
                    </a:stretch>
                  </pic:blipFill>
                  <pic:spPr>
                    <a:xfrm>
                      <a:off x="0" y="0"/>
                      <a:ext cx="2857500" cy="1952625"/>
                    </a:xfrm>
                    <a:prstGeom prst="rect">
                      <a:avLst/>
                    </a:prstGeom>
                    <a:noFill/>
                    <a:ln w="9525">
                      <a:noFill/>
                    </a:ln>
                  </pic:spPr>
                </pic:pic>
              </a:graphicData>
            </a:graphic>
          </wp:inline>
        </w:drawing>
      </w:r>
    </w:p>
    <w:p>
      <w:pPr>
        <w:jc w:val="center"/>
        <w:rPr>
          <w:rFonts w:ascii="黑体" w:eastAsia="黑体"/>
          <w:color w:val="0070C0"/>
          <w:sz w:val="32"/>
          <w:szCs w:val="32"/>
        </w:rPr>
      </w:pPr>
    </w:p>
    <w:p>
      <w:pPr>
        <w:jc w:val="center"/>
        <w:rPr>
          <w:rFonts w:ascii="黑体" w:eastAsia="黑体"/>
          <w:color w:val="0070C0"/>
          <w:sz w:val="32"/>
          <w:szCs w:val="32"/>
        </w:rPr>
      </w:pPr>
    </w:p>
    <w:p>
      <w:pPr>
        <w:jc w:val="center"/>
        <w:rPr>
          <w:rFonts w:ascii="黑体" w:eastAsia="黑体"/>
          <w:color w:val="0070C0"/>
          <w:sz w:val="32"/>
          <w:szCs w:val="32"/>
        </w:rPr>
      </w:pPr>
    </w:p>
    <w:p>
      <w:pPr>
        <w:jc w:val="center"/>
        <w:rPr>
          <w:rFonts w:ascii="黑体" w:eastAsia="黑体"/>
          <w:color w:val="0070C0"/>
          <w:sz w:val="32"/>
          <w:szCs w:val="32"/>
        </w:rPr>
      </w:pPr>
    </w:p>
    <w:p>
      <w:pPr>
        <w:jc w:val="center"/>
        <w:rPr>
          <w:rFonts w:ascii="黑体" w:eastAsia="黑体"/>
          <w:b/>
          <w:color w:val="FF0000"/>
          <w:sz w:val="52"/>
          <w:szCs w:val="52"/>
        </w:rPr>
      </w:pPr>
      <w:r>
        <w:rPr>
          <w:rFonts w:hint="eastAsia"/>
        </w:rPr>
        <w:drawing>
          <wp:inline distT="0" distB="0" distL="114300" distR="114300">
            <wp:extent cx="2268220" cy="374650"/>
            <wp:effectExtent l="0" t="0" r="17780" b="6350"/>
            <wp:docPr id="13" name="图片 13"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字-蓝色"/>
                    <pic:cNvPicPr>
                      <a:picLocks noChangeAspect="1"/>
                    </pic:cNvPicPr>
                  </pic:nvPicPr>
                  <pic:blipFill>
                    <a:blip r:embed="rId17"/>
                    <a:srcRect l="6538" t="15292" r="5190" b="15918"/>
                    <a:stretch>
                      <a:fillRect/>
                    </a:stretch>
                  </pic:blipFill>
                  <pic:spPr>
                    <a:xfrm>
                      <a:off x="0" y="0"/>
                      <a:ext cx="2268220" cy="374650"/>
                    </a:xfrm>
                    <a:prstGeom prst="rect">
                      <a:avLst/>
                    </a:prstGeom>
                    <a:noFill/>
                    <a:ln w="9525">
                      <a:noFill/>
                    </a:ln>
                  </pic:spPr>
                </pic:pic>
              </a:graphicData>
            </a:graphic>
          </wp:inline>
        </w:drawing>
      </w:r>
    </w:p>
    <w:p>
      <w:pPr>
        <w:pStyle w:val="18"/>
        <w:rPr>
          <w:color w:val="auto"/>
          <w:sz w:val="28"/>
        </w:rPr>
      </w:pPr>
      <w:bookmarkStart w:id="80" w:name="_Toc151656230"/>
      <w:r>
        <w:rPr>
          <w:color w:val="auto"/>
          <w:sz w:val="28"/>
        </w:rPr>
        <w:t>致 谢</w:t>
      </w:r>
    </w:p>
    <w:p>
      <w:pPr>
        <w:pStyle w:val="18"/>
        <w:spacing w:line="320" w:lineRule="exact"/>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各企事业单位、公司领导及企业界朋友们：</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您们辛苦了！</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非常感谢各位百忙之中抽出时间前往我校参与招聘工作，我代表全院师生员工对热心支持我院毕业生就业工作的各企事业单位的领导，对参加现场招聘会的企业界朋友表示诚挚的谢意！向为这次招聘会的顺利举行付出辛勤工作的各位同志表示衷心感谢!</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因您们的到来及参与我校的招聘活动，为我校毕业生提供了众多优质就业岗位，为他们的职业生涯搭建了广阔的平台。您们的热情参与和无私奉献，为我国教育事业的发展注入了强大的动力。</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我校招聘活动能够顺利进行，离不开您们的支持与帮助。您们带来的企业文化和招聘需求，为我校毕业生提供了丰富多样的就业选择。您们的到来，也给校园带来了浓厚的职场氛围，激发了同学们的求职热情。</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在此，我要特别感谢您们对我校毕业生的关爱和认可。您们给予他们机会，让他们在实践中锻炼自己，实现人生价值。我相信，有了您们的支持，我校毕业生一定能够在职场中脱颖而出，为我国的发展做出贡献。</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再次感谢您们对我校招聘工作的支持与厚爱。祝愿您们的事业蒸蒸日上，业务繁荣昌盛！祝各位领导及代表身体健康！工作愉快！家庭幸福！万事胜意！同时，也希望我校毕业生能够在未来的工作中，以优异的表现回报您们的信任和期待。</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 xml:space="preserve">                            湖南交通工程学院</w:t>
      </w:r>
    </w:p>
    <w:p>
      <w:pPr>
        <w:pStyle w:val="18"/>
        <w:spacing w:line="320" w:lineRule="exact"/>
        <w:ind w:firstLine="2400" w:firstLineChars="1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电气与信息工程学院全体师生员工</w:t>
      </w:r>
    </w:p>
    <w:p>
      <w:pPr>
        <w:pStyle w:val="18"/>
        <w:spacing w:line="320" w:lineRule="exact"/>
        <w:ind w:firstLine="400" w:firstLineChars="200"/>
        <w:jc w:val="left"/>
        <w:rPr>
          <w:rFonts w:ascii="微软雅黑" w:hAnsi="微软雅黑" w:eastAsia="微软雅黑" w:cs="微软雅黑"/>
          <w:b w:val="0"/>
          <w:bCs w:val="0"/>
          <w:color w:val="323232"/>
          <w:w w:val="100"/>
          <w:sz w:val="20"/>
          <w:szCs w:val="20"/>
          <w:shd w:val="clear" w:color="auto" w:fill="FFFFFF"/>
        </w:rPr>
      </w:pPr>
      <w:r>
        <w:rPr>
          <w:rFonts w:ascii="微软雅黑" w:hAnsi="微软雅黑" w:eastAsia="微软雅黑" w:cs="微软雅黑"/>
          <w:b w:val="0"/>
          <w:bCs w:val="0"/>
          <w:color w:val="323232"/>
          <w:w w:val="100"/>
          <w:sz w:val="20"/>
          <w:szCs w:val="20"/>
          <w:shd w:val="clear" w:color="auto" w:fill="FFFFFF"/>
        </w:rPr>
        <w:t xml:space="preserve">                           2023年11月25日</w:t>
      </w:r>
      <w:bookmarkEnd w:id="80"/>
    </w:p>
    <w:sectPr>
      <w:pgSz w:w="8392" w:h="11907"/>
      <w:pgMar w:top="1134" w:right="1021"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准圆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
    <w:altName w:val="Segoe Print"/>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华文琥珀">
    <w:altName w:val="宋体"/>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kZGY3N2I2MjRhMTUwMmIyNmVkYTVhOWQ2ZjI0ZmUifQ=="/>
  </w:docVars>
  <w:rsids>
    <w:rsidRoot w:val="006B16FC"/>
    <w:rsid w:val="00011012"/>
    <w:rsid w:val="000858EA"/>
    <w:rsid w:val="000A2D4E"/>
    <w:rsid w:val="00147D8A"/>
    <w:rsid w:val="001B2C83"/>
    <w:rsid w:val="00215967"/>
    <w:rsid w:val="002173DF"/>
    <w:rsid w:val="00225307"/>
    <w:rsid w:val="002516AA"/>
    <w:rsid w:val="003468D2"/>
    <w:rsid w:val="003C6D36"/>
    <w:rsid w:val="003F37D4"/>
    <w:rsid w:val="00457B99"/>
    <w:rsid w:val="00476932"/>
    <w:rsid w:val="005331FC"/>
    <w:rsid w:val="005346A7"/>
    <w:rsid w:val="00551B57"/>
    <w:rsid w:val="00555B0A"/>
    <w:rsid w:val="005D74A5"/>
    <w:rsid w:val="0060065B"/>
    <w:rsid w:val="00612B68"/>
    <w:rsid w:val="006B16FC"/>
    <w:rsid w:val="006C763C"/>
    <w:rsid w:val="006E639D"/>
    <w:rsid w:val="006F479C"/>
    <w:rsid w:val="00731F88"/>
    <w:rsid w:val="0074290E"/>
    <w:rsid w:val="007D138A"/>
    <w:rsid w:val="007F57ED"/>
    <w:rsid w:val="008164A1"/>
    <w:rsid w:val="008200DD"/>
    <w:rsid w:val="008D546A"/>
    <w:rsid w:val="008F3E70"/>
    <w:rsid w:val="00924EAA"/>
    <w:rsid w:val="00982839"/>
    <w:rsid w:val="009B4D6A"/>
    <w:rsid w:val="009D3CDF"/>
    <w:rsid w:val="009E223F"/>
    <w:rsid w:val="009F5959"/>
    <w:rsid w:val="00B30F32"/>
    <w:rsid w:val="00BC3A73"/>
    <w:rsid w:val="00BE0805"/>
    <w:rsid w:val="00C0730E"/>
    <w:rsid w:val="00C13563"/>
    <w:rsid w:val="00C36BBC"/>
    <w:rsid w:val="00CA0B88"/>
    <w:rsid w:val="00CC0294"/>
    <w:rsid w:val="00CD4D11"/>
    <w:rsid w:val="00CE42D0"/>
    <w:rsid w:val="00D35C7E"/>
    <w:rsid w:val="00D614D6"/>
    <w:rsid w:val="00D671C9"/>
    <w:rsid w:val="00D76223"/>
    <w:rsid w:val="00DA64AF"/>
    <w:rsid w:val="00DB787E"/>
    <w:rsid w:val="00DC1B9B"/>
    <w:rsid w:val="00DF18D4"/>
    <w:rsid w:val="00E20F76"/>
    <w:rsid w:val="00E404BF"/>
    <w:rsid w:val="00E82F58"/>
    <w:rsid w:val="00F23377"/>
    <w:rsid w:val="00F250F6"/>
    <w:rsid w:val="00F301F3"/>
    <w:rsid w:val="00FE3D77"/>
    <w:rsid w:val="0F99706A"/>
    <w:rsid w:val="10C3313B"/>
    <w:rsid w:val="14D85ABD"/>
    <w:rsid w:val="19D5446B"/>
    <w:rsid w:val="1B773BEF"/>
    <w:rsid w:val="1E0E3386"/>
    <w:rsid w:val="22762733"/>
    <w:rsid w:val="24897EC5"/>
    <w:rsid w:val="27187347"/>
    <w:rsid w:val="2C615E15"/>
    <w:rsid w:val="2C817DD6"/>
    <w:rsid w:val="3327395E"/>
    <w:rsid w:val="33347692"/>
    <w:rsid w:val="37034874"/>
    <w:rsid w:val="3B825EDC"/>
    <w:rsid w:val="3E0C1239"/>
    <w:rsid w:val="4D1D1E6F"/>
    <w:rsid w:val="5DF56670"/>
    <w:rsid w:val="610374B7"/>
    <w:rsid w:val="6AD417D6"/>
    <w:rsid w:val="6B7C72EB"/>
    <w:rsid w:val="6D3D023E"/>
    <w:rsid w:val="6EDA5542"/>
    <w:rsid w:val="737049D7"/>
    <w:rsid w:val="7D946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qFormat="1"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link w:val="17"/>
    <w:qFormat/>
    <w:uiPriority w:val="0"/>
    <w:pPr>
      <w:spacing w:after="120"/>
    </w:pPr>
  </w:style>
  <w:style w:type="paragraph" w:styleId="3">
    <w:name w:val="Balloon Text"/>
    <w:basedOn w:val="1"/>
    <w:link w:val="13"/>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able of figures"/>
    <w:basedOn w:val="1"/>
    <w:next w:val="1"/>
    <w:unhideWhenUsed/>
    <w:qFormat/>
    <w:uiPriority w:val="99"/>
    <w:pPr>
      <w:ind w:left="200" w:leftChars="200" w:hanging="200" w:hangingChars="200"/>
    </w:pPr>
  </w:style>
  <w:style w:type="paragraph" w:styleId="8">
    <w:name w:val="Normal (Web)"/>
    <w:basedOn w:val="1"/>
    <w:unhideWhenUsed/>
    <w:qFormat/>
    <w:uiPriority w:val="0"/>
    <w:pPr>
      <w:widowControl/>
      <w:spacing w:before="100" w:beforeAutospacing="1" w:after="100" w:afterAutospacing="1"/>
      <w:jc w:val="left"/>
    </w:pPr>
    <w:rPr>
      <w:rFonts w:ascii="宋体" w:hAnsi="宋体" w:cs="宋体"/>
      <w:sz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批注框文本 Char"/>
    <w:basedOn w:val="11"/>
    <w:link w:val="3"/>
    <w:qFormat/>
    <w:uiPriority w:val="0"/>
    <w:rPr>
      <w:kern w:val="2"/>
      <w:sz w:val="18"/>
      <w:szCs w:val="18"/>
    </w:rPr>
  </w:style>
  <w:style w:type="character" w:customStyle="1" w:styleId="14">
    <w:name w:val="页眉 Char"/>
    <w:basedOn w:val="11"/>
    <w:link w:val="5"/>
    <w:qFormat/>
    <w:uiPriority w:val="0"/>
    <w:rPr>
      <w:kern w:val="2"/>
      <w:sz w:val="18"/>
      <w:szCs w:val="18"/>
    </w:rPr>
  </w:style>
  <w:style w:type="character" w:customStyle="1" w:styleId="15">
    <w:name w:val="页脚 Char"/>
    <w:basedOn w:val="11"/>
    <w:link w:val="4"/>
    <w:qFormat/>
    <w:uiPriority w:val="0"/>
    <w:rPr>
      <w:kern w:val="2"/>
      <w:sz w:val="18"/>
      <w:szCs w:val="18"/>
    </w:rPr>
  </w:style>
  <w:style w:type="paragraph" w:styleId="16">
    <w:name w:val="List Paragraph"/>
    <w:basedOn w:val="1"/>
    <w:unhideWhenUsed/>
    <w:qFormat/>
    <w:uiPriority w:val="99"/>
    <w:pPr>
      <w:ind w:firstLine="420" w:firstLineChars="200"/>
    </w:pPr>
  </w:style>
  <w:style w:type="character" w:customStyle="1" w:styleId="17">
    <w:name w:val="正文文本 Char"/>
    <w:basedOn w:val="11"/>
    <w:link w:val="2"/>
    <w:qFormat/>
    <w:uiPriority w:val="0"/>
  </w:style>
  <w:style w:type="paragraph" w:customStyle="1" w:styleId="18">
    <w:name w:val="我的一级标题"/>
    <w:basedOn w:val="1"/>
    <w:qFormat/>
    <w:uiPriority w:val="0"/>
    <w:pPr>
      <w:widowControl/>
      <w:jc w:val="center"/>
      <w:outlineLvl w:val="0"/>
    </w:pPr>
    <w:rPr>
      <w:rFonts w:hint="eastAsia" w:ascii="黑体" w:hAnsi="黑体" w:eastAsia="黑体"/>
      <w:b/>
      <w:bCs/>
      <w:color w:val="000000" w:themeColor="text1"/>
      <w:w w:val="80"/>
      <w:sz w:val="36"/>
      <w:szCs w:val="36"/>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tif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NUL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22E13F-91CF-40C1-AFA5-BA5890681831}">
  <ds:schemaRefs/>
</ds:datastoreItem>
</file>

<file path=docProps/app.xml><?xml version="1.0" encoding="utf-8"?>
<Properties xmlns="http://schemas.openxmlformats.org/officeDocument/2006/extended-properties" xmlns:vt="http://schemas.openxmlformats.org/officeDocument/2006/docPropsVTypes">
  <Template>Normal.dotm</Template>
  <Company>Www.DadiGhost.Com</Company>
  <Pages>48</Pages>
  <Words>16314</Words>
  <Characters>17260</Characters>
  <Lines>140</Lines>
  <Paragraphs>39</Paragraphs>
  <TotalTime>2</TotalTime>
  <ScaleCrop>false</ScaleCrop>
  <LinksUpToDate>false</LinksUpToDate>
  <CharactersWithSpaces>17985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2023-11-23T10:58:00Z</dcterms:created>
  <dc:creator>Skyfree</dc:creator>
  <cp:lastModifiedBy>Admin</cp:lastModifiedBy>
  <cp:lastPrinted>2023-11-23T10:58:00Z</cp:lastPrinted>
  <dcterms:modified xsi:type="dcterms:W3CDTF">2023-11-24T02:37:06Z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5B2A0C22044647A2BD8E37CD4F0BF884_13</vt:lpwstr>
  </property>
</Properties>
</file>