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届本科毕业论</w:t>
      </w:r>
      <w:r>
        <w:rPr>
          <w:rFonts w:hint="eastAsia" w:ascii="黑体" w:hAnsi="黑体" w:eastAsia="黑体"/>
          <w:b/>
          <w:bCs w:val="0"/>
          <w:sz w:val="36"/>
          <w:szCs w:val="36"/>
        </w:rPr>
        <w:t>文</w:t>
      </w:r>
      <w:r>
        <w:rPr>
          <w:rFonts w:hint="eastAsia" w:ascii="黑体" w:hAnsi="黑体" w:eastAsia="黑体"/>
          <w:b/>
          <w:bCs w:val="0"/>
          <w:color w:val="auto"/>
          <w:sz w:val="36"/>
          <w:szCs w:val="36"/>
          <w:u w:val="none"/>
        </w:rPr>
        <w:t>(设计)</w:t>
      </w:r>
      <w:r>
        <w:rPr>
          <w:rFonts w:hint="eastAsia" w:ascii="黑体" w:hAnsi="黑体" w:eastAsia="黑体"/>
          <w:b/>
          <w:bCs w:val="0"/>
          <w:color w:val="auto"/>
          <w:sz w:val="36"/>
          <w:szCs w:val="36"/>
          <w:u w:val="none"/>
          <w:lang w:val="en-US" w:eastAsia="zh-CN"/>
        </w:rPr>
        <w:t>医学技术与护理</w:t>
      </w:r>
      <w:r>
        <w:rPr>
          <w:rFonts w:hint="eastAsia" w:ascii="黑体" w:hAnsi="黑体" w:eastAsia="黑体"/>
          <w:b/>
          <w:bCs w:val="0"/>
          <w:color w:val="auto"/>
          <w:sz w:val="36"/>
          <w:szCs w:val="36"/>
          <w:u w:val="none"/>
          <w:lang w:eastAsia="zh-CN"/>
        </w:rPr>
        <w:t>学院</w:t>
      </w:r>
      <w:r>
        <w:rPr>
          <w:rFonts w:hint="eastAsia" w:ascii="黑体" w:hAnsi="黑体" w:eastAsia="黑体"/>
          <w:b/>
          <w:bCs w:val="0"/>
          <w:color w:val="auto"/>
          <w:sz w:val="36"/>
          <w:szCs w:val="36"/>
          <w:u w:val="none"/>
        </w:rPr>
        <w:t>各期工作进</w:t>
      </w:r>
      <w:r>
        <w:rPr>
          <w:rFonts w:hint="eastAsia" w:ascii="黑体" w:hAnsi="黑体" w:eastAsia="黑体"/>
          <w:b/>
          <w:bCs w:val="0"/>
          <w:sz w:val="36"/>
          <w:szCs w:val="36"/>
        </w:rPr>
        <w:t>展报表</w:t>
      </w:r>
    </w:p>
    <w:p>
      <w:pPr>
        <w:ind w:firstLine="2240" w:firstLineChars="800"/>
        <w:jc w:val="both"/>
        <w:rPr>
          <w:rFonts w:hint="default" w:ascii="黑体" w:hAnsi="黑体" w:eastAsia="黑体"/>
          <w:bCs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专业数</w:t>
      </w:r>
      <w:r>
        <w:rPr>
          <w:rFonts w:hint="eastAsia" w:ascii="黑体" w:hAnsi="黑体" w:eastAsia="黑体"/>
          <w:bCs/>
          <w:sz w:val="28"/>
          <w:szCs w:val="28"/>
        </w:rPr>
        <w:t>：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2 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bCs/>
          <w:sz w:val="28"/>
          <w:szCs w:val="28"/>
        </w:rPr>
        <w:t xml:space="preserve">    学生</w:t>
      </w:r>
      <w:r>
        <w:rPr>
          <w:rFonts w:hint="eastAsia" w:ascii="黑体" w:hAnsi="黑体" w:eastAsia="黑体"/>
          <w:bCs/>
          <w:sz w:val="28"/>
          <w:szCs w:val="28"/>
          <w:lang w:eastAsia="zh-CN"/>
        </w:rPr>
        <w:t>总</w:t>
      </w:r>
      <w:r>
        <w:rPr>
          <w:rFonts w:hint="eastAsia" w:ascii="黑体" w:hAnsi="黑体" w:eastAsia="黑体"/>
          <w:bCs/>
          <w:sz w:val="28"/>
          <w:szCs w:val="28"/>
        </w:rPr>
        <w:t>数：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283    </w:t>
      </w:r>
      <w:r>
        <w:rPr>
          <w:rFonts w:hint="eastAsia" w:ascii="黑体" w:hAnsi="黑体" w:eastAsia="黑体"/>
          <w:bCs/>
          <w:sz w:val="28"/>
          <w:szCs w:val="28"/>
          <w:u w:val="none"/>
          <w:lang w:val="en-US" w:eastAsia="zh-CN"/>
        </w:rPr>
        <w:t xml:space="preserve">  指导教师数：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33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时段：早期阶段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9.23 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— 1.7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填报时间：  2023  年   1  月    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1.成立毕业论文工作机构，组织学习、调查、研究。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2.制订毕业论文工作计划、方案。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3.选聘指导教师，落实指导任务。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4.组织教师进行履职动员与选题、任务书撰写工作培训。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5.组织学生进行动员和专题讲座，部署双向选题。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6.审查选题，审核并下达毕业论文任务。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7.督查毕业论文早期工作进展。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1.10月下旬前完成指导教师聘任。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2.10月下旬前组织指导教师学习教育部抽检办法和学校工作手册，明晰工作职责和选题要求。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3.12月中旬前完成学生动员、拟题、选题和任务书审核、下达。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4.12月下旬组织毕业论文选题和任务书质量专项检查。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5.12月下旬将选题汇总表和经审签的任务书图片或pdf文档报教务处备案。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6.12月底填报工作进展报表。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9月，成立了医学技术与护理学院本科毕业论文工作领导小组。9月25日，学院发出“关于开展2019级本科生毕业论文工作的通知”。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10月初完成了28位护理学和5位康复治疗学专业指导教师遴选。10月中旬完成了毕业论文选题。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11月初，制定了医学技术与护理学院毕业论文管理实施细则。同时，根据专业特点，提出了选题、开题等工作的院级指导意见。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9、10、11、12月每次学院教学工作例会，均就毕业论文工作做了安排或督促。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2022年12月,完成了全部任务书、部分开题报告等上传网络系统平台,并在平台上完成了师生关系绑定,指导老师按要求完成系统里的任务书下达，学生接受任务后，指导教师在平台上对学生进行了开题报告撰写的指导和修改，大部分的学生由指导教师组织，通过腾讯视频会议召开了开题报告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目前，所有学生都进入了实验研究（调查）环节。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前期毕业论文任务安排较早，致使指导老师聘任不合要求，部分学生临时更换指导老师，选题、任务书下达变更。</w:t>
            </w:r>
          </w:p>
        </w:tc>
      </w:tr>
    </w:tbl>
    <w:p>
      <w:pPr>
        <w:spacing w:line="120" w:lineRule="atLeast"/>
        <w:jc w:val="left"/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  <w:br w:type="page"/>
      </w:r>
    </w:p>
    <w:tbl>
      <w:tblPr>
        <w:tblStyle w:val="4"/>
        <w:tblpPr w:leftFromText="180" w:rightFromText="180" w:vertAnchor="text" w:horzAnchor="page" w:tblpX="1776" w:tblpY="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时段：前期阶段1.8—3.4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1.督查、整改毕业论文早期阶段工作存在的问题。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2.督查毕业论文前期阶段工作进展。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3.检查、审核学生开题报告。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4.组织院、室两级毕业论文前期检查。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1.3月上旬完成学院毕业论文前期检查。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2.3月中旬填报工作进展报表。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时段：中期阶段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3.5—4.29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1.督查、整改毕业论文前期阶段工作存在的问题。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2.督查毕业论文中期阶段工作进展。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3.组织院、室两级毕业论文中期检查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1.4月下旬完成学院毕业论文中期工作检查。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2.4月下旬填报工作进展报表。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时段：后期阶段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4.3—6.3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1.督查、整改毕业论文中期阶段工作存在的问题。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2.督查毕业论文后期阶段工作进展。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3.组织院、室两级论文质量检查与整改。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4.组织学生毕业论文查重。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5.组织论文评阅、答辩和成绩评定。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6.组织毕业论文（设计）资料归档。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7.评选校级优秀毕业论文，提交浓缩版资料。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1.5月中、下旬检查毕业论文撰写质量和评阅质量。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2.5月下旬组织毕业论文答辩。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3.6月中旬提交校级优秀毕业论文浓缩版资料。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4.6月底填报工作进展报表。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时段：末期阶段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6.4—6.30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1.督查、整改毕业论文后期工作存在的问题。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2.督查毕业论文末期工作进展。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3.督查不合格论文全面整改。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4.对整改后论文再次组织评阅、答辩和成绩评定。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5.组织质量全面检查与整改，撰写质量分析和工 作总结报告。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6.组织毕业论文资料归档验收。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7.考评指导教师履行指导职责质量。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1.6月下旬完成指导老师履职考评。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2.6月底完成毕业论文工作整改。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3.暑期完成整改毕业论文答辩。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4.7月上旬提交质量分析、工总结报告、工作进展报表。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5.7月上旬完成资料归档。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454B4100"/>
    <w:rsid w:val="00C30B28"/>
    <w:rsid w:val="0C942076"/>
    <w:rsid w:val="454B4100"/>
    <w:rsid w:val="6EE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1086</Words>
  <Characters>1185</Characters>
  <Lines>0</Lines>
  <Paragraphs>0</Paragraphs>
  <TotalTime>14</TotalTime>
  <ScaleCrop>false</ScaleCrop>
  <LinksUpToDate>false</LinksUpToDate>
  <CharactersWithSpaces>1497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2022-09-19T07:15:00Z</dcterms:created>
  <dc:creator>WY</dc:creator>
  <cp:lastModifiedBy>小米</cp:lastModifiedBy>
  <dcterms:modified xsi:type="dcterms:W3CDTF">2023-01-13T03:28:33Z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05923DE910BD416EB8207EAB180226A5</vt:lpwstr>
  </property>
</Properties>
</file>