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3" w:type="dxa"/>
        <w:tblCellSpacing w:w="0" w:type="dxa"/>
        <w:tblInd w:w="0" w:type="dxa"/>
        <w:tblLayout w:type="autofit"/>
        <w:tblCellMar>
          <w:top w:w="0" w:type="dxa"/>
          <w:left w:w="0" w:type="dxa"/>
          <w:bottom w:w="0" w:type="dxa"/>
          <w:right w:w="0" w:type="dxa"/>
        </w:tblCellMar>
      </w:tblPr>
      <w:tblGrid>
        <w:gridCol w:w="845"/>
        <w:gridCol w:w="2029"/>
        <w:gridCol w:w="845"/>
        <w:gridCol w:w="2130"/>
        <w:gridCol w:w="845"/>
        <w:gridCol w:w="3449"/>
      </w:tblGrid>
      <w:tr>
        <w:trPr>
          <w:tblCellSpacing w:w="0" w:type="dxa"/>
        </w:trPr>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信息名称：</w:t>
            </w:r>
          </w:p>
        </w:tc>
        <w:tc>
          <w:tcPr>
            <w:tcW w:w="0" w:type="auto"/>
            <w:gridSpan w:val="5"/>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教育部关于印发《本科毕业论文（设计）抽检办法（试行）》的通知</w:t>
            </w:r>
          </w:p>
        </w:tc>
      </w:tr>
      <w:tr>
        <w:tblPrEx>
          <w:tblCellMar>
            <w:top w:w="0" w:type="dxa"/>
            <w:left w:w="0" w:type="dxa"/>
            <w:bottom w:w="0" w:type="dxa"/>
            <w:right w:w="0" w:type="dxa"/>
          </w:tblCellMar>
        </w:tblPrEx>
        <w:trPr>
          <w:tblCellSpacing w:w="0" w:type="dxa"/>
        </w:trPr>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信息索引：</w:t>
            </w:r>
          </w:p>
        </w:tc>
        <w:tc>
          <w:tcPr>
            <w:tcW w:w="1000" w:type="pct"/>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360A11-04-2021-0001-1</w:t>
            </w:r>
          </w:p>
        </w:tc>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生成日期：</w:t>
            </w:r>
          </w:p>
        </w:tc>
        <w:tc>
          <w:tcPr>
            <w:tcW w:w="1050" w:type="pct"/>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2021-01-04</w:t>
            </w:r>
          </w:p>
        </w:tc>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发文机构：</w:t>
            </w:r>
          </w:p>
        </w:tc>
        <w:tc>
          <w:tcPr>
            <w:tcW w:w="1700" w:type="pct"/>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中华人民共和国教育部</w:t>
            </w:r>
          </w:p>
        </w:tc>
      </w:tr>
      <w:tr>
        <w:tblPrEx>
          <w:tblCellMar>
            <w:top w:w="0" w:type="dxa"/>
            <w:left w:w="0" w:type="dxa"/>
            <w:bottom w:w="0" w:type="dxa"/>
            <w:right w:w="0" w:type="dxa"/>
          </w:tblCellMar>
        </w:tblPrEx>
        <w:trPr>
          <w:tblCellSpacing w:w="0" w:type="dxa"/>
        </w:trPr>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发文字号：</w:t>
            </w:r>
          </w:p>
        </w:tc>
        <w:tc>
          <w:tcPr>
            <w:tcW w:w="0" w:type="auto"/>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教督〔2020〕5号</w:t>
            </w:r>
          </w:p>
        </w:tc>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信息类别：</w:t>
            </w:r>
          </w:p>
        </w:tc>
        <w:tc>
          <w:tcPr>
            <w:tcW w:w="0" w:type="auto"/>
            <w:gridSpan w:val="3"/>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教育综合管理</w:t>
            </w:r>
          </w:p>
        </w:tc>
      </w:tr>
      <w:tr>
        <w:tblPrEx>
          <w:tblCellMar>
            <w:top w:w="0" w:type="dxa"/>
            <w:left w:w="0" w:type="dxa"/>
            <w:bottom w:w="0" w:type="dxa"/>
            <w:right w:w="0" w:type="dxa"/>
          </w:tblCellMar>
        </w:tblPrEx>
        <w:trPr>
          <w:tblCellSpacing w:w="0" w:type="dxa"/>
        </w:trPr>
        <w:tc>
          <w:tcPr>
            <w:tcW w:w="1014" w:type="dxa"/>
            <w:tcBorders>
              <w:top w:val="nil"/>
              <w:left w:val="nil"/>
              <w:bottom w:val="nil"/>
              <w:right w:val="nil"/>
            </w:tcBorders>
          </w:tcPr>
          <w:p>
            <w:pPr>
              <w:widowControl/>
              <w:spacing w:line="313" w:lineRule="atLeast"/>
              <w:jc w:val="left"/>
              <w:rPr>
                <w:rFonts w:ascii="宋体" w:hAnsi="宋体" w:eastAsia="宋体" w:cs="宋体"/>
                <w:b/>
                <w:bCs/>
                <w:color w:val="4B4B4B"/>
                <w:kern w:val="0"/>
                <w:sz w:val="18"/>
                <w:szCs w:val="18"/>
              </w:rPr>
            </w:pPr>
            <w:r>
              <w:rPr>
                <w:rFonts w:hint="eastAsia" w:ascii="宋体" w:hAnsi="宋体" w:eastAsia="宋体" w:cs="宋体"/>
                <w:b/>
                <w:bCs/>
                <w:color w:val="4B4B4B"/>
                <w:kern w:val="0"/>
                <w:sz w:val="18"/>
                <w:szCs w:val="18"/>
              </w:rPr>
              <w:t>内容概述：</w:t>
            </w:r>
          </w:p>
        </w:tc>
        <w:tc>
          <w:tcPr>
            <w:tcW w:w="0" w:type="auto"/>
            <w:gridSpan w:val="5"/>
            <w:tcBorders>
              <w:top w:val="nil"/>
              <w:left w:val="nil"/>
              <w:bottom w:val="nil"/>
              <w:right w:val="nil"/>
            </w:tcBorders>
          </w:tcPr>
          <w:p>
            <w:pPr>
              <w:widowControl/>
              <w:spacing w:line="313" w:lineRule="atLeast"/>
              <w:jc w:val="left"/>
              <w:rPr>
                <w:rFonts w:ascii="宋体" w:hAnsi="宋体" w:eastAsia="宋体" w:cs="宋体"/>
                <w:color w:val="4B4B4B"/>
                <w:kern w:val="0"/>
                <w:sz w:val="18"/>
                <w:szCs w:val="18"/>
              </w:rPr>
            </w:pPr>
            <w:r>
              <w:rPr>
                <w:rFonts w:hint="eastAsia" w:ascii="宋体" w:hAnsi="宋体" w:eastAsia="宋体" w:cs="宋体"/>
                <w:color w:val="4B4B4B"/>
                <w:kern w:val="0"/>
                <w:sz w:val="18"/>
                <w:szCs w:val="18"/>
              </w:rPr>
              <w:t>教育部印发《本科毕业论文（设计）抽检办法（试行）》。</w:t>
            </w:r>
          </w:p>
        </w:tc>
      </w:tr>
    </w:tbl>
    <w:p>
      <w:pPr>
        <w:widowControl/>
        <w:jc w:val="center"/>
        <w:outlineLvl w:val="0"/>
        <w:rPr>
          <w:rFonts w:ascii="微软雅黑" w:hAnsi="微软雅黑" w:eastAsia="微软雅黑" w:cs="宋体"/>
          <w:b/>
          <w:bCs/>
          <w:color w:val="4B4B4B"/>
          <w:kern w:val="36"/>
          <w:sz w:val="25"/>
          <w:szCs w:val="25"/>
        </w:rPr>
      </w:pPr>
      <w:r>
        <w:rPr>
          <w:rFonts w:hint="eastAsia" w:ascii="微软雅黑" w:hAnsi="微软雅黑" w:eastAsia="微软雅黑" w:cs="宋体"/>
          <w:b/>
          <w:bCs/>
          <w:color w:val="4B4B4B"/>
          <w:kern w:val="36"/>
          <w:sz w:val="25"/>
          <w:szCs w:val="25"/>
        </w:rPr>
        <w:t>教育部关于印发《本科毕业论文（设计）抽检办法（试行）》的通知</w:t>
      </w:r>
      <w:bookmarkStart w:id="0" w:name="_GoBack"/>
      <w:bookmarkEnd w:id="0"/>
    </w:p>
    <w:p>
      <w:pPr>
        <w:widowControl/>
        <w:spacing w:line="401" w:lineRule="atLeast"/>
        <w:jc w:val="righ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教督〔2020〕5号</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各省、自治区、直辖市教育厅（教委），新疆生产建设兵团教育局，有关部门（单位）教育司（局），部属各高等学校、部省合建各高等学校：</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widowControl/>
        <w:spacing w:line="401" w:lineRule="atLeast"/>
        <w:jc w:val="righ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教育部</w:t>
      </w:r>
    </w:p>
    <w:p>
      <w:pPr>
        <w:widowControl/>
        <w:spacing w:line="401" w:lineRule="atLeast"/>
        <w:jc w:val="righ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2020年12月24日</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本科毕业论文（设计）抽检办法（试行）</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第一章 总则</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第二条 教育部负责本科毕业论文抽检的统筹组织和监督，省级教育行政部门负责本地区本科毕业论文抽检的具体实施。其中，中国人民解放军有关部门负责军队系统本科毕业论文抽检的具体实施。</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第三条 本科毕业论文抽检工作应遵循独立、客观、科学、公正原则，任何单位和个人都不得以任何方式干扰抽检工作的正常进行。</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第四条 本科毕业论文抽检每年进行一次，抽检对象为上一学年度授予学士学位的论文，抽检比例原则上应不低于2%。</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第二章 评议要素和重点</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第五条 省级教育行政部门要参照《普通高等学校本科专业类教学质量国家标准》等要求，结合本地区工作实际，按照《普通高等学校本科专业目录（2020年版）》学科门类分别制定本科毕业论文抽检评议要素。</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第六条 本科毕业论文抽检应重点对选题意义、写作安排、逻辑构建、专业能力以及学术规范等进行考察。</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第三章 工作程序</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第八条 省级教育行政部门基于抽检信息平台和本地区学士学位授予信息，采取随机抽取的方式确定抽检名单。抽检论文要覆盖本地区所有本科层次普通高校及其全部本科专业。</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第九条 省级教育行政部门利用抽检信息平台对抽检论文进行学术不端行为检测，检测结果供专家评审参考。</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第四章 结果反馈与使用</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第十一条 本科毕业论文抽检结果由省级教育行政部门向有关高校反馈、抄送省级学位委员会，同时报教育部备案。</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第十二条 本科毕业论文抽检结果的使用。</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（一）抽检结果以适当方式向社会公开。</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（三）对连续3年抽检存在问题较多的本科专业，经整改仍无法达到要求者，视为不能保证培养质量，省级教育行政部门应依据有关规定责令其暂停招生，或由省级学位委员会撤销其学士学位授权点。</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（四）对涉嫌存在抄袭、剽窃、伪造、篡改、买卖、代写等学术不端行为的毕业论文，高校应按照相关程序进行调查核实，对查实的应依法撤销已授予学位，并注销学位证书。</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（五）抽检结果将作为本科教育教学评估、一流本科专业建设、本科专业认证以及专业建设经费投入等教育资源配置的重要参考依据。</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第五章 监督与保障</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第十三条 教育部定期对各省级教育行政部门本科毕业论文抽检工作情况开展监督检查，并将工作情况纳入省级人民政府履行教育职责评价的范畴。</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第十四条 省级教育行政部门应保障本科毕业论文抽检工作经费，列入年度工作预算，确保抽检工作顺利开展。</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第十五条 省级教育行政部门应建立本科毕业论文抽检申诉机制，规范申诉处理程序，保障有关高校和学生的合法权益。</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第十六条 各有关高校应按照所在地省级教育行政部门的有关要求，积极配合本科毕业论文抽检工作，准确完整地提供本科毕业论文、学位授予信息等材料。</w:t>
      </w:r>
    </w:p>
    <w:p>
      <w:pPr>
        <w:widowControl/>
        <w:spacing w:line="401" w:lineRule="atLeast"/>
        <w:jc w:val="center"/>
        <w:rPr>
          <w:rFonts w:hint="eastAsia" w:ascii="微软雅黑" w:hAnsi="微软雅黑" w:eastAsia="微软雅黑" w:cs="宋体"/>
          <w:color w:val="4B4B4B"/>
          <w:kern w:val="0"/>
          <w:sz w:val="20"/>
          <w:szCs w:val="20"/>
        </w:rPr>
      </w:pPr>
      <w:r>
        <w:rPr>
          <w:rFonts w:hint="eastAsia" w:ascii="微软雅黑" w:hAnsi="微软雅黑" w:eastAsia="微软雅黑" w:cs="宋体"/>
          <w:b/>
          <w:bCs/>
          <w:color w:val="4B4B4B"/>
          <w:kern w:val="0"/>
          <w:sz w:val="20"/>
          <w:szCs w:val="20"/>
        </w:rPr>
        <w:t>第六章 附则</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第十七条 省级教育行政部门要参照本办法，结合地方实际，制定本省（区、市）本科毕业论文抽检工作实施细则，并报教育部备案。</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第十八条 本办法由教育部负责解释。</w:t>
      </w:r>
    </w:p>
    <w:p>
      <w:pPr>
        <w:widowControl/>
        <w:spacing w:line="401" w:lineRule="atLeast"/>
        <w:jc w:val="left"/>
        <w:rPr>
          <w:rFonts w:hint="eastAsia" w:ascii="微软雅黑" w:hAnsi="微软雅黑" w:eastAsia="微软雅黑" w:cs="宋体"/>
          <w:color w:val="4B4B4B"/>
          <w:kern w:val="0"/>
          <w:sz w:val="20"/>
          <w:szCs w:val="20"/>
        </w:rPr>
      </w:pPr>
      <w:r>
        <w:rPr>
          <w:rFonts w:hint="eastAsia" w:ascii="微软雅黑" w:hAnsi="微软雅黑" w:eastAsia="微软雅黑" w:cs="宋体"/>
          <w:color w:val="4B4B4B"/>
          <w:kern w:val="0"/>
          <w:sz w:val="20"/>
          <w:szCs w:val="20"/>
        </w:rPr>
        <w:t>　　第十九条 本办法自2021年1月1日起施行。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beforeAutospacing="0" w:after="0" w:afterAutospacing="0"/>
        <w:jc w:val="center"/>
        <w:rPr>
          <w:rFonts w:ascii="微软雅黑" w:hAnsi="微软雅黑" w:eastAsia="微软雅黑"/>
          <w:color w:val="4B4B4B"/>
          <w:sz w:val="25"/>
          <w:szCs w:val="25"/>
        </w:rPr>
      </w:pPr>
      <w:r>
        <w:rPr>
          <w:rFonts w:hint="eastAsia" w:ascii="微软雅黑" w:hAnsi="微软雅黑" w:eastAsia="微软雅黑"/>
          <w:color w:val="4B4B4B"/>
          <w:sz w:val="25"/>
          <w:szCs w:val="25"/>
        </w:rPr>
        <w:t>开展本科毕业论文抽检，严把人才培养质量关</w:t>
      </w:r>
    </w:p>
    <w:p>
      <w:pPr>
        <w:pStyle w:val="3"/>
        <w:spacing w:before="0" w:after="0"/>
        <w:jc w:val="center"/>
        <w:rPr>
          <w:rFonts w:hint="eastAsia" w:ascii="微软雅黑" w:hAnsi="微软雅黑" w:eastAsia="微软雅黑"/>
          <w:color w:val="6B6B6B"/>
          <w:sz w:val="20"/>
          <w:szCs w:val="20"/>
        </w:rPr>
      </w:pPr>
      <w:r>
        <w:rPr>
          <w:rFonts w:hint="eastAsia" w:ascii="微软雅黑" w:hAnsi="微软雅黑" w:eastAsia="微软雅黑"/>
          <w:color w:val="6B6B6B"/>
          <w:sz w:val="20"/>
          <w:szCs w:val="20"/>
        </w:rPr>
        <w:t>——教育部教育督导局负责人就《本科毕业论文（设计）抽检办法（试行）》答记者问</w:t>
      </w:r>
    </w:p>
    <w:p>
      <w:pPr>
        <w:shd w:val="clear" w:color="auto" w:fill="E9E9E9"/>
        <w:rPr>
          <w:rFonts w:hint="eastAsia" w:ascii="宋体" w:hAnsi="宋体" w:eastAsia="宋体"/>
          <w:color w:val="6B6B6B"/>
          <w:sz w:val="15"/>
          <w:szCs w:val="15"/>
        </w:rPr>
      </w:pPr>
      <w:r>
        <w:rPr>
          <w:rFonts w:hint="eastAsia"/>
          <w:color w:val="6B6B6B"/>
          <w:sz w:val="15"/>
          <w:szCs w:val="15"/>
        </w:rPr>
        <w:t>2021-01-07　来源：教育部</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近日，教育部印发了《本科毕业论文（设计）抽检办法（试行）》（以下简称《办法》），启动本科毕业论文（设计）（以下简称本科毕业论文）抽检试点工作。教育部教育督导局负责人就抽检相关问题回答了记者提问。</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一、请简要介绍开展本科毕业论文抽检的背景和目的。</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习近平总书记在全国教育大会上作出重要指示，要落实立德树人根本任务，全面提高教育质量。2020年2月，中共中央办公厅、国务院办公厅印发《关于深化新时代教育督导体制机制改革的意见》，提出了加强和改进教育评估监测，保证教育教学质量的要求。2020年10月，中共中央、国务院印发《深化新时代教育评价改革总体方案》，明确要求严格学业标准，探索本科毕业论文抽检试点工作。《学士学位授权与授予管理办法》（学位〔2019〕20号）和《教育部关于深化本科教育教学改革全面提高人才培养质量的意见》（教高〔2019〕6号）提出要落实本科毕业论文要求，加强本科人才培养质量监督。《普通高等学校本科专业类教学质量国家标准》中也明确了不同专业类本科毕业论文的具体要求。</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本科毕业论文是学生本科阶段综合学业成果。开展本科毕业论文抽检，考查本科生基本学术规范和基本学术素养，旨在督促高校落实立德树人根本任务，推动高校加强培养过程管理、把好毕业出口质量。</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二、请简要介绍《办法》的研制过程。</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教育部成立工作专班，充分总结博士硕士学位论文抽检工作经验，认真研究《教育部关于深化本科教育教学改革全面提高人才培养质量的意见》《普通高等学校本科专业类教学质量国家标准》《学士学位授权与授予管理办法》等文件，把握本科教育发展的新形势和对本科毕业论文的新要求。对已开展本科毕业论文抽检工作的河北等省份进行调研，总结经验做法。依托有关省级教育行政部门和高校负责同志组成专家团队，在充分征求其意见建议基础上起草了文件初稿。送14个中央部门教育司局、31个省级教育行政部门和新疆生产建设兵团教育局、部属高校和部省合建高校广泛征求意见，充分吸收采纳、修改完善，经教育部党组会审议通过后正式印发。</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三、本科毕业论文抽检主要考察哪些内容，与博士硕士学位论文抽检有何不同？</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本科毕业论文抽检重点对选题意义、写作安排、逻辑构建、专业能力以及学术规范等进行“合格性”考察。各省级教育行政部门参照《普通高等学校本科专业类教学质量国家标准》等要求，结合本地区工作实际，按照《普通高等学校本科专业目录（2020年版）》学科门类分别制定本科毕业论文抽检评议要素。区别于博士硕士学位论文抽检重点考察研究生创新性和科研能力，本科毕业论文抽检重点考察本科生基本学术规范和基本学术素养。</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四、本科毕业论文抽检的比例和范围如何？</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本科毕业论文抽检每年进行一次，抽检对象为上一学年度授予学士学位的论文，抽检比例原则上应不低于2%。省级教育行政部门采取随机抽取的方式确定抽检名单，抽检论文要覆盖本地区所有本科层次普通高校及其全部本科专业。</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五、本科毕业论文抽检工作如何开展？</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答：本科毕业论文抽检工作实施分级管理。教育部负责统筹组织和监督，省级教育行政部门负责具体实施，各有关高校配合落实。中国人民解放军有关部门负责军队系统本科毕业论文抽检的具体实施。</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教育部建立全国本科毕业论文抽检信息平台，面向省级教育行政部门提供学术不端行为检测、毕业论文提取和专家评审等定制功能，对各省级教育行政部门开展本科毕业论文抽检工作实行全过程监督。</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省级教育行政部门基于抽检信息平台和本地区学士学位授予信息，采取随机抽取的方式确定抽检名单。利用抽检信息平台对抽检论文进行学术不端行为检测，检测结果供专家评审参考。采取随机匹配方式组织同行专家对抽检论文进行评议，提出评议意见。</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六、如何确定“存在问题学位论文”？</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本科毕业论文抽检分为初评和复评两个环节。初评阶段，每篇论文送3位同行专家，3位专家中有2位以上（含2位）专家评议意见为“不合格”的毕业论文，将认定为“存在问题毕业论文”。3位专家中有1位专家评议意见为“不合格”，将再送2位同行专家进行复评。复评阶段，2位复评专家中有1位以上（含1位）专家评议意见为“不合格”，将认定为“存在问题毕业论文”。</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w:t>
      </w:r>
      <w:r>
        <w:rPr>
          <w:rFonts w:hint="eastAsia" w:ascii="微软雅黑" w:hAnsi="微软雅黑" w:eastAsia="微软雅黑"/>
          <w:b/>
          <w:bCs/>
          <w:color w:val="4B4B4B"/>
          <w:sz w:val="20"/>
          <w:szCs w:val="20"/>
        </w:rPr>
        <w:t>七、本科毕业论文抽检结果如何使用？</w:t>
      </w:r>
    </w:p>
    <w:p>
      <w:pPr>
        <w:pStyle w:val="4"/>
        <w:spacing w:before="0" w:beforeAutospacing="0" w:after="0" w:afterAutospacing="0"/>
        <w:rPr>
          <w:rFonts w:hint="eastAsia" w:ascii="微软雅黑" w:hAnsi="微软雅黑" w:eastAsia="微软雅黑"/>
          <w:color w:val="4B4B4B"/>
          <w:sz w:val="20"/>
          <w:szCs w:val="20"/>
        </w:rPr>
      </w:pPr>
      <w:r>
        <w:rPr>
          <w:rFonts w:hint="eastAsia" w:ascii="微软雅黑" w:hAnsi="微软雅黑" w:eastAsia="微软雅黑"/>
          <w:color w:val="4B4B4B"/>
          <w:sz w:val="20"/>
          <w:szCs w:val="20"/>
        </w:rPr>
        <w:t>　　答：本科毕业论文抽检结果由省级教育行政部门向有关高校反馈、抄送省级学位委员会，同时报教育部备案。主要采取以下方式使用：一是抽检结果以适当方式向社会公开。二是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三是对连续3年抽检存在问题较多的本科专业，经整改仍无法达到要求者，视为不能保证培养质量，省级教育行政部门应依据有关规定责令其暂停招生，或由省级学位委员会撤销其学士学位授权点。四是对涉嫌存在抄袭、剽窃、伪造、篡改、买卖、代写等学术不端行为的毕业论文，高校应按照相关程序进行调查核实，对查实的应依法撤销已授予学位，并注销学位证书。五是抽检结果将作为本科教育教学评估、一流本科专业建设、本科专业认证以及专业建设经费投入等教育资源配置的重要参考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4"/>
    <w:rsid w:val="00020E84"/>
    <w:rsid w:val="00025264"/>
    <w:rsid w:val="000456D1"/>
    <w:rsid w:val="000569A3"/>
    <w:rsid w:val="000571CB"/>
    <w:rsid w:val="000651F4"/>
    <w:rsid w:val="00076AE8"/>
    <w:rsid w:val="00090C6D"/>
    <w:rsid w:val="000A07A6"/>
    <w:rsid w:val="000A38DC"/>
    <w:rsid w:val="000A4E03"/>
    <w:rsid w:val="000A7DA3"/>
    <w:rsid w:val="000B4A33"/>
    <w:rsid w:val="000B53FC"/>
    <w:rsid w:val="000C5026"/>
    <w:rsid w:val="000C68E7"/>
    <w:rsid w:val="000D702F"/>
    <w:rsid w:val="000F52A5"/>
    <w:rsid w:val="00107A22"/>
    <w:rsid w:val="001111AC"/>
    <w:rsid w:val="00112AA5"/>
    <w:rsid w:val="00116A79"/>
    <w:rsid w:val="00120E79"/>
    <w:rsid w:val="00126213"/>
    <w:rsid w:val="0012753D"/>
    <w:rsid w:val="00140A1E"/>
    <w:rsid w:val="001471CC"/>
    <w:rsid w:val="0014746A"/>
    <w:rsid w:val="001479D2"/>
    <w:rsid w:val="00150136"/>
    <w:rsid w:val="001544C6"/>
    <w:rsid w:val="001558A6"/>
    <w:rsid w:val="00157E88"/>
    <w:rsid w:val="00161B85"/>
    <w:rsid w:val="00166471"/>
    <w:rsid w:val="00171EB4"/>
    <w:rsid w:val="001752B1"/>
    <w:rsid w:val="00175874"/>
    <w:rsid w:val="00176DAE"/>
    <w:rsid w:val="00187162"/>
    <w:rsid w:val="00190C6B"/>
    <w:rsid w:val="0019531D"/>
    <w:rsid w:val="001966DB"/>
    <w:rsid w:val="001A2FEF"/>
    <w:rsid w:val="001A721F"/>
    <w:rsid w:val="001B11D6"/>
    <w:rsid w:val="001B7C6E"/>
    <w:rsid w:val="001C57F4"/>
    <w:rsid w:val="001C613A"/>
    <w:rsid w:val="001D0625"/>
    <w:rsid w:val="001D2609"/>
    <w:rsid w:val="001D3A9A"/>
    <w:rsid w:val="001E3A26"/>
    <w:rsid w:val="001E76B8"/>
    <w:rsid w:val="001F4AE6"/>
    <w:rsid w:val="001F668C"/>
    <w:rsid w:val="001F7D5F"/>
    <w:rsid w:val="00202113"/>
    <w:rsid w:val="00205B57"/>
    <w:rsid w:val="00205C22"/>
    <w:rsid w:val="00207457"/>
    <w:rsid w:val="002079FC"/>
    <w:rsid w:val="00217004"/>
    <w:rsid w:val="00217B22"/>
    <w:rsid w:val="002202D7"/>
    <w:rsid w:val="00220E5C"/>
    <w:rsid w:val="002221A1"/>
    <w:rsid w:val="002237AA"/>
    <w:rsid w:val="0023215B"/>
    <w:rsid w:val="00232D6F"/>
    <w:rsid w:val="0023397A"/>
    <w:rsid w:val="00234C71"/>
    <w:rsid w:val="002355D7"/>
    <w:rsid w:val="0023678F"/>
    <w:rsid w:val="0024519C"/>
    <w:rsid w:val="00245D75"/>
    <w:rsid w:val="00246C6E"/>
    <w:rsid w:val="00253EC9"/>
    <w:rsid w:val="00262FA9"/>
    <w:rsid w:val="00263A09"/>
    <w:rsid w:val="002713BE"/>
    <w:rsid w:val="002827B1"/>
    <w:rsid w:val="00284135"/>
    <w:rsid w:val="00284AB1"/>
    <w:rsid w:val="00284B03"/>
    <w:rsid w:val="00287D33"/>
    <w:rsid w:val="0029106E"/>
    <w:rsid w:val="00291B42"/>
    <w:rsid w:val="00293060"/>
    <w:rsid w:val="002A4329"/>
    <w:rsid w:val="002A6C2D"/>
    <w:rsid w:val="002A7574"/>
    <w:rsid w:val="002A7F90"/>
    <w:rsid w:val="002B0D64"/>
    <w:rsid w:val="002B41F5"/>
    <w:rsid w:val="002B6337"/>
    <w:rsid w:val="002B6F5A"/>
    <w:rsid w:val="002C4833"/>
    <w:rsid w:val="002D08B3"/>
    <w:rsid w:val="002D3C90"/>
    <w:rsid w:val="002E5A36"/>
    <w:rsid w:val="00302767"/>
    <w:rsid w:val="003030DD"/>
    <w:rsid w:val="00316781"/>
    <w:rsid w:val="00321004"/>
    <w:rsid w:val="0032101F"/>
    <w:rsid w:val="00322BEF"/>
    <w:rsid w:val="00331A72"/>
    <w:rsid w:val="00333504"/>
    <w:rsid w:val="00334289"/>
    <w:rsid w:val="00334B0F"/>
    <w:rsid w:val="0033602C"/>
    <w:rsid w:val="00340030"/>
    <w:rsid w:val="00342459"/>
    <w:rsid w:val="0034271E"/>
    <w:rsid w:val="003431E8"/>
    <w:rsid w:val="00344BFA"/>
    <w:rsid w:val="00364209"/>
    <w:rsid w:val="00367AFF"/>
    <w:rsid w:val="0037561E"/>
    <w:rsid w:val="003759CC"/>
    <w:rsid w:val="00376221"/>
    <w:rsid w:val="003852E7"/>
    <w:rsid w:val="00387F34"/>
    <w:rsid w:val="00392F1F"/>
    <w:rsid w:val="003960DC"/>
    <w:rsid w:val="003A129C"/>
    <w:rsid w:val="003A6453"/>
    <w:rsid w:val="003A7DBE"/>
    <w:rsid w:val="003B33F2"/>
    <w:rsid w:val="003C031F"/>
    <w:rsid w:val="003C4322"/>
    <w:rsid w:val="003C64BF"/>
    <w:rsid w:val="003C7AAC"/>
    <w:rsid w:val="003D0289"/>
    <w:rsid w:val="003D524E"/>
    <w:rsid w:val="003E217C"/>
    <w:rsid w:val="003E4C6F"/>
    <w:rsid w:val="003E68DF"/>
    <w:rsid w:val="003F0CE0"/>
    <w:rsid w:val="003F2504"/>
    <w:rsid w:val="003F669B"/>
    <w:rsid w:val="004035C9"/>
    <w:rsid w:val="00403BC1"/>
    <w:rsid w:val="00412A7F"/>
    <w:rsid w:val="004256B1"/>
    <w:rsid w:val="00430236"/>
    <w:rsid w:val="00431877"/>
    <w:rsid w:val="004338E4"/>
    <w:rsid w:val="0043660B"/>
    <w:rsid w:val="004370B2"/>
    <w:rsid w:val="00437FE3"/>
    <w:rsid w:val="0044322B"/>
    <w:rsid w:val="00453C7F"/>
    <w:rsid w:val="004568AC"/>
    <w:rsid w:val="00460DA6"/>
    <w:rsid w:val="00463862"/>
    <w:rsid w:val="00464A8C"/>
    <w:rsid w:val="004668C7"/>
    <w:rsid w:val="00466C50"/>
    <w:rsid w:val="0047115E"/>
    <w:rsid w:val="0047393A"/>
    <w:rsid w:val="00476A61"/>
    <w:rsid w:val="00476C08"/>
    <w:rsid w:val="004873FD"/>
    <w:rsid w:val="00496770"/>
    <w:rsid w:val="00496E47"/>
    <w:rsid w:val="004B5804"/>
    <w:rsid w:val="004C26EA"/>
    <w:rsid w:val="004C2B30"/>
    <w:rsid w:val="004C74B6"/>
    <w:rsid w:val="004D4888"/>
    <w:rsid w:val="004D4E05"/>
    <w:rsid w:val="004D5364"/>
    <w:rsid w:val="004D7658"/>
    <w:rsid w:val="004E3437"/>
    <w:rsid w:val="004E54A4"/>
    <w:rsid w:val="004E65A1"/>
    <w:rsid w:val="004F2B62"/>
    <w:rsid w:val="004F399D"/>
    <w:rsid w:val="004F48AE"/>
    <w:rsid w:val="004F5DCF"/>
    <w:rsid w:val="005009BD"/>
    <w:rsid w:val="00506191"/>
    <w:rsid w:val="00512BE8"/>
    <w:rsid w:val="0052238D"/>
    <w:rsid w:val="00531A71"/>
    <w:rsid w:val="00533A44"/>
    <w:rsid w:val="00537111"/>
    <w:rsid w:val="005416D0"/>
    <w:rsid w:val="00541B6C"/>
    <w:rsid w:val="00541E3D"/>
    <w:rsid w:val="00542F7E"/>
    <w:rsid w:val="0054301F"/>
    <w:rsid w:val="00554AC6"/>
    <w:rsid w:val="005569EC"/>
    <w:rsid w:val="005730D4"/>
    <w:rsid w:val="00576C63"/>
    <w:rsid w:val="005809AD"/>
    <w:rsid w:val="00583ADF"/>
    <w:rsid w:val="00586234"/>
    <w:rsid w:val="005A0202"/>
    <w:rsid w:val="005A3F2D"/>
    <w:rsid w:val="005B11BC"/>
    <w:rsid w:val="005C3756"/>
    <w:rsid w:val="005C4F04"/>
    <w:rsid w:val="005D08F7"/>
    <w:rsid w:val="005E38E7"/>
    <w:rsid w:val="005E769F"/>
    <w:rsid w:val="005F0E40"/>
    <w:rsid w:val="005F25FA"/>
    <w:rsid w:val="005F361C"/>
    <w:rsid w:val="005F3DA5"/>
    <w:rsid w:val="005F51BD"/>
    <w:rsid w:val="005F67E1"/>
    <w:rsid w:val="00600B4C"/>
    <w:rsid w:val="00601476"/>
    <w:rsid w:val="00606B3C"/>
    <w:rsid w:val="00607871"/>
    <w:rsid w:val="006101A0"/>
    <w:rsid w:val="00634AFB"/>
    <w:rsid w:val="00640B4D"/>
    <w:rsid w:val="00642603"/>
    <w:rsid w:val="006473E2"/>
    <w:rsid w:val="00647957"/>
    <w:rsid w:val="00652107"/>
    <w:rsid w:val="0066511A"/>
    <w:rsid w:val="0067131C"/>
    <w:rsid w:val="006801F1"/>
    <w:rsid w:val="00680B56"/>
    <w:rsid w:val="0068248E"/>
    <w:rsid w:val="006859E4"/>
    <w:rsid w:val="00685C58"/>
    <w:rsid w:val="00695FBA"/>
    <w:rsid w:val="006A590A"/>
    <w:rsid w:val="006A6246"/>
    <w:rsid w:val="006B2E3D"/>
    <w:rsid w:val="006B5454"/>
    <w:rsid w:val="006D23AB"/>
    <w:rsid w:val="006D241B"/>
    <w:rsid w:val="006D2715"/>
    <w:rsid w:val="006D2A70"/>
    <w:rsid w:val="006D4362"/>
    <w:rsid w:val="006D5BEA"/>
    <w:rsid w:val="006E7920"/>
    <w:rsid w:val="006F0B59"/>
    <w:rsid w:val="006F1E65"/>
    <w:rsid w:val="006F2830"/>
    <w:rsid w:val="006F4622"/>
    <w:rsid w:val="006F77D0"/>
    <w:rsid w:val="00704B25"/>
    <w:rsid w:val="00711D85"/>
    <w:rsid w:val="00712793"/>
    <w:rsid w:val="00715F03"/>
    <w:rsid w:val="00722384"/>
    <w:rsid w:val="0072344F"/>
    <w:rsid w:val="00724E55"/>
    <w:rsid w:val="007276F4"/>
    <w:rsid w:val="0073225B"/>
    <w:rsid w:val="00740FCE"/>
    <w:rsid w:val="00741C1A"/>
    <w:rsid w:val="00756D0E"/>
    <w:rsid w:val="00760A6E"/>
    <w:rsid w:val="00764A67"/>
    <w:rsid w:val="0076573F"/>
    <w:rsid w:val="00765CB1"/>
    <w:rsid w:val="00767D44"/>
    <w:rsid w:val="00774CAD"/>
    <w:rsid w:val="00780004"/>
    <w:rsid w:val="00781DF4"/>
    <w:rsid w:val="00790FC2"/>
    <w:rsid w:val="00792E46"/>
    <w:rsid w:val="00793D69"/>
    <w:rsid w:val="007943EA"/>
    <w:rsid w:val="007A40CA"/>
    <w:rsid w:val="007A4508"/>
    <w:rsid w:val="007A6A43"/>
    <w:rsid w:val="007A75A2"/>
    <w:rsid w:val="007B5B11"/>
    <w:rsid w:val="007C2B6D"/>
    <w:rsid w:val="007C6C5A"/>
    <w:rsid w:val="007D2E77"/>
    <w:rsid w:val="007E2DF0"/>
    <w:rsid w:val="007E5271"/>
    <w:rsid w:val="007F0200"/>
    <w:rsid w:val="007F3CC3"/>
    <w:rsid w:val="007F5F05"/>
    <w:rsid w:val="007F7CD1"/>
    <w:rsid w:val="00805DFE"/>
    <w:rsid w:val="008102EC"/>
    <w:rsid w:val="00823585"/>
    <w:rsid w:val="00825630"/>
    <w:rsid w:val="0082684E"/>
    <w:rsid w:val="008302EA"/>
    <w:rsid w:val="008313EC"/>
    <w:rsid w:val="0083181A"/>
    <w:rsid w:val="00833C88"/>
    <w:rsid w:val="008460EA"/>
    <w:rsid w:val="00847339"/>
    <w:rsid w:val="00851474"/>
    <w:rsid w:val="00864844"/>
    <w:rsid w:val="00871CB6"/>
    <w:rsid w:val="00883C80"/>
    <w:rsid w:val="00895B54"/>
    <w:rsid w:val="008A37F3"/>
    <w:rsid w:val="008A6DB4"/>
    <w:rsid w:val="008B2C32"/>
    <w:rsid w:val="008B3D6B"/>
    <w:rsid w:val="008B4069"/>
    <w:rsid w:val="008B73A5"/>
    <w:rsid w:val="008C27ED"/>
    <w:rsid w:val="008D0813"/>
    <w:rsid w:val="008D5DAE"/>
    <w:rsid w:val="008D6E67"/>
    <w:rsid w:val="008D7FDC"/>
    <w:rsid w:val="008E0627"/>
    <w:rsid w:val="008E7127"/>
    <w:rsid w:val="008F161A"/>
    <w:rsid w:val="008F2796"/>
    <w:rsid w:val="00900251"/>
    <w:rsid w:val="00906A83"/>
    <w:rsid w:val="009070B6"/>
    <w:rsid w:val="00911F08"/>
    <w:rsid w:val="00912715"/>
    <w:rsid w:val="00916A41"/>
    <w:rsid w:val="00922B4A"/>
    <w:rsid w:val="00937698"/>
    <w:rsid w:val="00937B81"/>
    <w:rsid w:val="00947B42"/>
    <w:rsid w:val="00956008"/>
    <w:rsid w:val="0095712A"/>
    <w:rsid w:val="00974834"/>
    <w:rsid w:val="00974EA2"/>
    <w:rsid w:val="0097629B"/>
    <w:rsid w:val="00976354"/>
    <w:rsid w:val="009767A2"/>
    <w:rsid w:val="009777F0"/>
    <w:rsid w:val="009815AC"/>
    <w:rsid w:val="0099446D"/>
    <w:rsid w:val="00997F22"/>
    <w:rsid w:val="009A335B"/>
    <w:rsid w:val="009A33E9"/>
    <w:rsid w:val="009A37AE"/>
    <w:rsid w:val="009A4274"/>
    <w:rsid w:val="009B0217"/>
    <w:rsid w:val="009B2CA3"/>
    <w:rsid w:val="009B3072"/>
    <w:rsid w:val="009B3FF6"/>
    <w:rsid w:val="009B43C7"/>
    <w:rsid w:val="009C1253"/>
    <w:rsid w:val="009C1ECD"/>
    <w:rsid w:val="009C3F7F"/>
    <w:rsid w:val="009C4512"/>
    <w:rsid w:val="009D37B1"/>
    <w:rsid w:val="009D65AC"/>
    <w:rsid w:val="009E3928"/>
    <w:rsid w:val="009E45A7"/>
    <w:rsid w:val="009E545E"/>
    <w:rsid w:val="009F00CF"/>
    <w:rsid w:val="009F1C6E"/>
    <w:rsid w:val="009F36A5"/>
    <w:rsid w:val="009F5B66"/>
    <w:rsid w:val="009F5CE4"/>
    <w:rsid w:val="00A0207C"/>
    <w:rsid w:val="00A02E0C"/>
    <w:rsid w:val="00A2372E"/>
    <w:rsid w:val="00A2716D"/>
    <w:rsid w:val="00A325DD"/>
    <w:rsid w:val="00A33E1B"/>
    <w:rsid w:val="00A3786B"/>
    <w:rsid w:val="00A501BB"/>
    <w:rsid w:val="00A502C9"/>
    <w:rsid w:val="00A572B1"/>
    <w:rsid w:val="00A64A84"/>
    <w:rsid w:val="00A66431"/>
    <w:rsid w:val="00A67F12"/>
    <w:rsid w:val="00A74026"/>
    <w:rsid w:val="00A76FB8"/>
    <w:rsid w:val="00A801C1"/>
    <w:rsid w:val="00A81B84"/>
    <w:rsid w:val="00A82158"/>
    <w:rsid w:val="00A95B35"/>
    <w:rsid w:val="00AA22EA"/>
    <w:rsid w:val="00AB3775"/>
    <w:rsid w:val="00AB6DF6"/>
    <w:rsid w:val="00AB7A72"/>
    <w:rsid w:val="00AD0960"/>
    <w:rsid w:val="00AD15F4"/>
    <w:rsid w:val="00AE6704"/>
    <w:rsid w:val="00AF2296"/>
    <w:rsid w:val="00AF567D"/>
    <w:rsid w:val="00B043BC"/>
    <w:rsid w:val="00B07F57"/>
    <w:rsid w:val="00B11529"/>
    <w:rsid w:val="00B1218A"/>
    <w:rsid w:val="00B1373B"/>
    <w:rsid w:val="00B171CE"/>
    <w:rsid w:val="00B250FA"/>
    <w:rsid w:val="00B318E8"/>
    <w:rsid w:val="00B346D2"/>
    <w:rsid w:val="00B35644"/>
    <w:rsid w:val="00B3636D"/>
    <w:rsid w:val="00B43114"/>
    <w:rsid w:val="00B47123"/>
    <w:rsid w:val="00B47F22"/>
    <w:rsid w:val="00B52BBA"/>
    <w:rsid w:val="00B54724"/>
    <w:rsid w:val="00B62175"/>
    <w:rsid w:val="00B6676A"/>
    <w:rsid w:val="00B71084"/>
    <w:rsid w:val="00B72C83"/>
    <w:rsid w:val="00B771CC"/>
    <w:rsid w:val="00B8091A"/>
    <w:rsid w:val="00B80B45"/>
    <w:rsid w:val="00B820A9"/>
    <w:rsid w:val="00B83251"/>
    <w:rsid w:val="00B8607F"/>
    <w:rsid w:val="00B92079"/>
    <w:rsid w:val="00B92E93"/>
    <w:rsid w:val="00B92EA4"/>
    <w:rsid w:val="00BA3378"/>
    <w:rsid w:val="00BB2D43"/>
    <w:rsid w:val="00BC31DD"/>
    <w:rsid w:val="00BC332A"/>
    <w:rsid w:val="00BC6DA3"/>
    <w:rsid w:val="00BD0CB1"/>
    <w:rsid w:val="00BD5903"/>
    <w:rsid w:val="00BD702D"/>
    <w:rsid w:val="00BE1C75"/>
    <w:rsid w:val="00BE302D"/>
    <w:rsid w:val="00BF12E7"/>
    <w:rsid w:val="00BF754E"/>
    <w:rsid w:val="00C00769"/>
    <w:rsid w:val="00C05188"/>
    <w:rsid w:val="00C205BE"/>
    <w:rsid w:val="00C2414E"/>
    <w:rsid w:val="00C26AAD"/>
    <w:rsid w:val="00C3409C"/>
    <w:rsid w:val="00C4106E"/>
    <w:rsid w:val="00C44E3C"/>
    <w:rsid w:val="00C56DFA"/>
    <w:rsid w:val="00C607C0"/>
    <w:rsid w:val="00C61FB6"/>
    <w:rsid w:val="00C6253F"/>
    <w:rsid w:val="00C66E8B"/>
    <w:rsid w:val="00C83F35"/>
    <w:rsid w:val="00C87089"/>
    <w:rsid w:val="00C95323"/>
    <w:rsid w:val="00C969D4"/>
    <w:rsid w:val="00CA04C0"/>
    <w:rsid w:val="00CA70BB"/>
    <w:rsid w:val="00CB1730"/>
    <w:rsid w:val="00CB35C0"/>
    <w:rsid w:val="00CB7986"/>
    <w:rsid w:val="00CC0620"/>
    <w:rsid w:val="00CD2913"/>
    <w:rsid w:val="00CD566F"/>
    <w:rsid w:val="00CE19CF"/>
    <w:rsid w:val="00CE2C68"/>
    <w:rsid w:val="00CE66C0"/>
    <w:rsid w:val="00CF2150"/>
    <w:rsid w:val="00CF2C6D"/>
    <w:rsid w:val="00CF3FC8"/>
    <w:rsid w:val="00CF4FAC"/>
    <w:rsid w:val="00CF6CEF"/>
    <w:rsid w:val="00D01812"/>
    <w:rsid w:val="00D0309C"/>
    <w:rsid w:val="00D168F1"/>
    <w:rsid w:val="00D23EAE"/>
    <w:rsid w:val="00D244E0"/>
    <w:rsid w:val="00D2516C"/>
    <w:rsid w:val="00D25ECF"/>
    <w:rsid w:val="00D260B2"/>
    <w:rsid w:val="00D2744D"/>
    <w:rsid w:val="00D27815"/>
    <w:rsid w:val="00D31C88"/>
    <w:rsid w:val="00D3495C"/>
    <w:rsid w:val="00D35CB1"/>
    <w:rsid w:val="00D36416"/>
    <w:rsid w:val="00D376F7"/>
    <w:rsid w:val="00D40AE8"/>
    <w:rsid w:val="00D463F8"/>
    <w:rsid w:val="00D500BC"/>
    <w:rsid w:val="00D569F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0F04"/>
    <w:rsid w:val="00DB3D3E"/>
    <w:rsid w:val="00DB5587"/>
    <w:rsid w:val="00DC1BCD"/>
    <w:rsid w:val="00DD1A7C"/>
    <w:rsid w:val="00DD1FB1"/>
    <w:rsid w:val="00DD2B6B"/>
    <w:rsid w:val="00DD61A7"/>
    <w:rsid w:val="00DD6D9E"/>
    <w:rsid w:val="00DD78AB"/>
    <w:rsid w:val="00DE7303"/>
    <w:rsid w:val="00DE7C44"/>
    <w:rsid w:val="00DF2D60"/>
    <w:rsid w:val="00DF6A4A"/>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355"/>
    <w:rsid w:val="00E97524"/>
    <w:rsid w:val="00EA0CD6"/>
    <w:rsid w:val="00EA3533"/>
    <w:rsid w:val="00EA3595"/>
    <w:rsid w:val="00EA38B4"/>
    <w:rsid w:val="00EA5FBB"/>
    <w:rsid w:val="00EB1358"/>
    <w:rsid w:val="00EB2A34"/>
    <w:rsid w:val="00EC0113"/>
    <w:rsid w:val="00EC4493"/>
    <w:rsid w:val="00EC7318"/>
    <w:rsid w:val="00EC7474"/>
    <w:rsid w:val="00EC7ECE"/>
    <w:rsid w:val="00EE4AE2"/>
    <w:rsid w:val="00EE5853"/>
    <w:rsid w:val="00EE726C"/>
    <w:rsid w:val="00EF2A8F"/>
    <w:rsid w:val="00EF437A"/>
    <w:rsid w:val="00EF4A14"/>
    <w:rsid w:val="00EF5013"/>
    <w:rsid w:val="00F02BDC"/>
    <w:rsid w:val="00F07B72"/>
    <w:rsid w:val="00F133F1"/>
    <w:rsid w:val="00F15AA1"/>
    <w:rsid w:val="00F20EA9"/>
    <w:rsid w:val="00F24991"/>
    <w:rsid w:val="00F25293"/>
    <w:rsid w:val="00F25747"/>
    <w:rsid w:val="00F45A4B"/>
    <w:rsid w:val="00F45D1E"/>
    <w:rsid w:val="00F46E19"/>
    <w:rsid w:val="00F51598"/>
    <w:rsid w:val="00F55915"/>
    <w:rsid w:val="00F60823"/>
    <w:rsid w:val="00F60AE7"/>
    <w:rsid w:val="00F6238A"/>
    <w:rsid w:val="00F637D4"/>
    <w:rsid w:val="00F7553F"/>
    <w:rsid w:val="00F76642"/>
    <w:rsid w:val="00F832F8"/>
    <w:rsid w:val="00F930FF"/>
    <w:rsid w:val="00F939E9"/>
    <w:rsid w:val="00FA23A1"/>
    <w:rsid w:val="00FA723B"/>
    <w:rsid w:val="00FB1B47"/>
    <w:rsid w:val="00FB5D3E"/>
    <w:rsid w:val="00FC21FC"/>
    <w:rsid w:val="00FC7EA0"/>
    <w:rsid w:val="00FD00F2"/>
    <w:rsid w:val="00FD5936"/>
    <w:rsid w:val="00FE0293"/>
    <w:rsid w:val="00FE4434"/>
    <w:rsid w:val="00FE670E"/>
    <w:rsid w:val="00FF03D6"/>
    <w:rsid w:val="00FF75AF"/>
    <w:rsid w:val="1095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Char"/>
    <w:basedOn w:val="6"/>
    <w:link w:val="2"/>
    <w:uiPriority w:val="9"/>
    <w:rPr>
      <w:rFonts w:ascii="宋体" w:hAnsi="宋体" w:eastAsia="宋体" w:cs="宋体"/>
      <w:b/>
      <w:bCs/>
      <w:kern w:val="36"/>
      <w:sz w:val="48"/>
      <w:szCs w:val="48"/>
    </w:rPr>
  </w:style>
  <w:style w:type="character" w:customStyle="1" w:styleId="8">
    <w:name w:val="标题 2 Char"/>
    <w:basedOn w:val="6"/>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667</Words>
  <Characters>3805</Characters>
  <Lines>31</Lines>
  <Paragraphs>8</Paragraphs>
  <TotalTime>1</TotalTime>
  <ScaleCrop>false</ScaleCrop>
  <LinksUpToDate>false</LinksUpToDate>
  <CharactersWithSpaces>4464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2021-01-07T09:18:00Z</dcterms:created>
  <dc:creator>谢献忠</dc:creator>
  <cp:lastModifiedBy>远方的寂静</cp:lastModifiedBy>
  <dcterms:modified xsi:type="dcterms:W3CDTF">2021-04-22T01:30:23Z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BCFC73C0431642008355DBBAAD04744E</vt:lpwstr>
  </property>
</Properties>
</file>